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bCs/>
          <w:sz w:val="32"/>
          <w:szCs w:val="32"/>
        </w:rPr>
      </w:pPr>
      <w:r>
        <w:rPr>
          <w:rFonts w:hint="eastAsia" w:ascii="黑体" w:hAnsi="黑体" w:eastAsia="黑体" w:cs="黑体"/>
          <w:sz w:val="32"/>
          <w:szCs w:val="32"/>
        </w:rPr>
        <w:t>附件</w:t>
      </w:r>
      <w:r>
        <w:rPr>
          <w:rFonts w:ascii="黑体" w:hAnsi="黑体" w:eastAsia="黑体" w:cs="黑体"/>
          <w:sz w:val="32"/>
          <w:szCs w:val="32"/>
        </w:rPr>
        <w:t>6</w:t>
      </w:r>
    </w:p>
    <w:p>
      <w:pPr>
        <w:spacing w:line="578" w:lineRule="exact"/>
        <w:jc w:val="center"/>
        <w:rPr>
          <w:rFonts w:ascii="仿宋" w:hAnsi="仿宋" w:eastAsia="仿宋"/>
          <w:b/>
          <w:bCs/>
          <w:sz w:val="44"/>
          <w:szCs w:val="44"/>
        </w:rPr>
      </w:pPr>
    </w:p>
    <w:p>
      <w:pPr>
        <w:spacing w:line="578"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部门评价报告</w:t>
      </w: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jc w:val="left"/>
        <w:rPr>
          <w:rFonts w:ascii="仿宋_GB2312" w:hAnsi="仿宋" w:eastAsia="仿宋_GB2312"/>
          <w:sz w:val="28"/>
          <w:szCs w:val="28"/>
          <w:u w:val="single"/>
        </w:rPr>
      </w:pPr>
      <w:r>
        <w:rPr>
          <w:rFonts w:ascii="仿宋" w:hAnsi="仿宋" w:eastAsia="仿宋" w:cs="仿宋"/>
          <w:szCs w:val="21"/>
        </w:rPr>
        <w:t xml:space="preserve">         </w:t>
      </w:r>
      <w:r>
        <w:rPr>
          <w:rFonts w:hint="eastAsia" w:ascii="仿宋_GB2312" w:hAnsi="仿宋" w:eastAsia="仿宋_GB2312" w:cs="仿宋_GB2312"/>
          <w:sz w:val="28"/>
          <w:szCs w:val="28"/>
        </w:rPr>
        <w:t>评价类型：</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实施过程评价</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lang w:eastAsia="zh-CN"/>
        </w:rPr>
        <w:t>☑</w:t>
      </w:r>
      <w:r>
        <w:rPr>
          <w:rFonts w:hint="eastAsia" w:ascii="仿宋_GB2312" w:hAnsi="仿宋" w:eastAsia="仿宋_GB2312" w:cs="仿宋_GB2312"/>
          <w:sz w:val="28"/>
          <w:szCs w:val="28"/>
          <w:u w:val="single"/>
        </w:rPr>
        <w:t>完成结果评价</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项目名称：</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浮梁县2021年受污染耕地安全利用</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项目单位：</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浮梁县农业技术推广中心</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cs="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主管部门：</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浮梁县农业农村局</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评价时间：</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2021年</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3</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月</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1日至</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2021</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年</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12</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月</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30</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日</w:t>
      </w:r>
    </w:p>
    <w:p>
      <w:pPr>
        <w:spacing w:line="578" w:lineRule="exact"/>
        <w:jc w:val="left"/>
        <w:rPr>
          <w:rFonts w:ascii="仿宋_GB2312" w:hAnsi="仿宋" w:eastAsia="仿宋_GB2312"/>
          <w:sz w:val="28"/>
          <w:szCs w:val="28"/>
          <w:u w:val="single"/>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组织方式：</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财政部门</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主管部门</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项目单位</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评价机构：</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第三方机构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专家组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项目单位评价组</w:t>
      </w:r>
    </w:p>
    <w:p>
      <w:pPr>
        <w:spacing w:line="578" w:lineRule="exact"/>
        <w:ind w:left="1050" w:hanging="1050" w:hangingChars="500"/>
        <w:rPr>
          <w:rFonts w:ascii="仿宋_GB2312" w:hAnsi="仿宋" w:eastAsia="仿宋_GB2312"/>
          <w:szCs w:val="21"/>
        </w:rPr>
      </w:pPr>
    </w:p>
    <w:p>
      <w:pPr>
        <w:spacing w:line="578" w:lineRule="exact"/>
        <w:rPr>
          <w:rFonts w:ascii="仿宋_GB2312" w:hAnsi="仿宋" w:eastAsia="仿宋_GB2312"/>
          <w:szCs w:val="21"/>
        </w:rPr>
      </w:pPr>
    </w:p>
    <w:p>
      <w:pPr>
        <w:spacing w:line="578" w:lineRule="exact"/>
        <w:rPr>
          <w:rFonts w:ascii="仿宋_GB2312" w:hAnsi="仿宋" w:eastAsia="仿宋_GB2312"/>
          <w:szCs w:val="21"/>
        </w:rPr>
      </w:pPr>
    </w:p>
    <w:p>
      <w:pPr>
        <w:spacing w:line="578" w:lineRule="exact"/>
        <w:ind w:left="1050" w:hanging="1050" w:hangingChars="500"/>
        <w:rPr>
          <w:rFonts w:ascii="仿宋_GB2312" w:hAnsi="仿宋" w:eastAsia="仿宋_GB2312" w:cs="仿宋_GB2312"/>
          <w:szCs w:val="21"/>
        </w:rPr>
      </w:pPr>
      <w:r>
        <w:rPr>
          <w:rFonts w:ascii="仿宋_GB2312" w:hAnsi="仿宋" w:eastAsia="仿宋_GB2312" w:cs="仿宋_GB2312"/>
          <w:szCs w:val="21"/>
        </w:rPr>
        <w:t xml:space="preserve">             </w:t>
      </w:r>
    </w:p>
    <w:p>
      <w:pPr>
        <w:spacing w:line="578" w:lineRule="exact"/>
        <w:ind w:left="1050" w:hanging="1050" w:hangingChars="500"/>
        <w:rPr>
          <w:rFonts w:ascii="仿宋_GB2312" w:hAnsi="仿宋" w:eastAsia="仿宋_GB2312" w:cs="仿宋_GB2312"/>
          <w:szCs w:val="21"/>
        </w:rPr>
      </w:pPr>
    </w:p>
    <w:p>
      <w:pPr>
        <w:spacing w:line="578" w:lineRule="exact"/>
        <w:ind w:left="1050" w:hanging="1400" w:hangingChars="500"/>
        <w:jc w:val="center"/>
        <w:rPr>
          <w:rFonts w:ascii="仿宋_GB2312" w:hAnsi="仿宋" w:eastAsia="仿宋_GB2312"/>
          <w:sz w:val="28"/>
          <w:szCs w:val="28"/>
        </w:rPr>
      </w:pPr>
      <w:r>
        <w:rPr>
          <w:rFonts w:hint="eastAsia" w:ascii="仿宋_GB2312" w:hAnsi="仿宋" w:eastAsia="仿宋_GB2312" w:cs="仿宋_GB2312"/>
          <w:sz w:val="28"/>
          <w:szCs w:val="28"/>
          <w:lang w:val="en-US" w:eastAsia="zh-CN"/>
        </w:rPr>
        <w:t xml:space="preserve">                         </w:t>
      </w:r>
      <w:r>
        <w:rPr>
          <w:rFonts w:hint="eastAsia" w:ascii="仿宋_GB2312" w:hAnsi="仿宋" w:eastAsia="仿宋_GB2312" w:cs="仿宋_GB2312"/>
          <w:sz w:val="28"/>
          <w:szCs w:val="28"/>
        </w:rPr>
        <w:t>评价单位（盖章）：</w:t>
      </w:r>
    </w:p>
    <w:p>
      <w:pPr>
        <w:spacing w:line="578" w:lineRule="exact"/>
        <w:ind w:left="1400" w:hanging="1400" w:hangingChars="500"/>
        <w:jc w:val="right"/>
        <w:rPr>
          <w:rFonts w:hint="default" w:ascii="仿宋_GB2312" w:hAnsi="仿宋" w:eastAsia="仿宋_GB2312"/>
          <w:sz w:val="28"/>
          <w:szCs w:val="28"/>
          <w:lang w:val="en-US" w:eastAsia="zh-CN"/>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上报时间：</w:t>
      </w:r>
      <w:r>
        <w:rPr>
          <w:rFonts w:hint="eastAsia" w:ascii="仿宋_GB2312" w:hAnsi="仿宋" w:eastAsia="仿宋_GB2312" w:cs="仿宋_GB2312"/>
          <w:sz w:val="28"/>
          <w:szCs w:val="28"/>
          <w:lang w:val="en-US" w:eastAsia="zh-CN"/>
        </w:rPr>
        <w:t>2022年6月18日</w:t>
      </w:r>
    </w:p>
    <w:p>
      <w:pPr>
        <w:spacing w:line="400" w:lineRule="exact"/>
        <w:jc w:val="left"/>
        <w:rPr>
          <w:rFonts w:ascii="仿宋" w:hAnsi="仿宋" w:eastAsia="仿宋"/>
          <w:szCs w:val="21"/>
        </w:rPr>
      </w:pPr>
    </w:p>
    <w:p>
      <w:pPr>
        <w:jc w:val="center"/>
        <w:rPr>
          <w:rFonts w:ascii="方正小标宋简体" w:hAnsi="方正小标宋简体" w:eastAsia="方正小标宋简体"/>
          <w:sz w:val="44"/>
          <w:szCs w:val="44"/>
        </w:rPr>
      </w:pPr>
      <w:r>
        <w:rPr>
          <w:rFonts w:ascii="仿宋" w:hAnsi="仿宋" w:eastAsia="仿宋"/>
          <w:szCs w:val="21"/>
        </w:rPr>
        <w:br w:type="page"/>
      </w:r>
      <w:bookmarkStart w:id="0" w:name="_GoBack"/>
      <w:bookmarkEnd w:id="0"/>
      <w:r>
        <w:rPr>
          <w:rFonts w:hint="eastAsia" w:ascii="方正小标宋简体" w:hAnsi="方正小标宋简体" w:eastAsia="方正小标宋简体" w:cs="方正小标宋简体"/>
          <w:sz w:val="44"/>
          <w:szCs w:val="44"/>
        </w:rPr>
        <w:t>部门评价报告</w:t>
      </w:r>
    </w:p>
    <w:p>
      <w:pPr>
        <w:spacing w:line="240" w:lineRule="exact"/>
        <w:jc w:val="center"/>
        <w:rPr>
          <w:rFonts w:ascii="楷体_GB2312" w:hAnsi="楷体_GB2312" w:eastAsia="楷体_GB2312"/>
          <w:sz w:val="32"/>
          <w:szCs w:val="32"/>
        </w:rPr>
      </w:pPr>
    </w:p>
    <w:p>
      <w:pPr>
        <w:spacing w:line="540" w:lineRule="exact"/>
        <w:ind w:firstLine="360" w:firstLineChars="100"/>
        <w:rPr>
          <w:rFonts w:ascii="黑体" w:hAnsi="黑体" w:eastAsia="黑体"/>
          <w:sz w:val="36"/>
          <w:szCs w:val="36"/>
        </w:rPr>
      </w:pPr>
      <w:r>
        <w:rPr>
          <w:rFonts w:hint="eastAsia" w:ascii="黑体" w:hAnsi="黑体" w:eastAsia="黑体" w:cs="黑体"/>
          <w:sz w:val="36"/>
          <w:szCs w:val="36"/>
        </w:rPr>
        <w:t>一、基本情况</w:t>
      </w:r>
    </w:p>
    <w:p>
      <w:pPr>
        <w:spacing w:line="240" w:lineRule="auto"/>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江西省生态环境保护委员会土壤污染防治委员会关于印发2021年全省受污染耕地安全利用工作计划的通知》（赣环土壤委字［2021］5号）及《景德镇市生态环境保护委员会土壤污染防治委员会关于印发2021年全市受污染耕地安全利用、严格管控工作计划的通知》（景环土壤委字［2021］1号）的通知要求，2021年浮梁县受污染耕地安全利用任务面积2963亩，其中轻度污染1034亩，中度污染面积为1929亩。项目实施的主要目标是通过采取各项技术措施，使受污染耕地安全利用率达到9</w:t>
      </w:r>
      <w:r>
        <w:rPr>
          <w:rFonts w:hint="eastAsia" w:ascii="仿宋" w:hAnsi="仿宋" w:eastAsia="仿宋" w:cs="仿宋"/>
          <w:sz w:val="32"/>
          <w:szCs w:val="32"/>
          <w:lang w:val="en-US" w:eastAsia="zh-CN"/>
        </w:rPr>
        <w:t>3</w:t>
      </w:r>
      <w:r>
        <w:rPr>
          <w:rFonts w:hint="eastAsia" w:ascii="仿宋" w:hAnsi="仿宋" w:eastAsia="仿宋" w:cs="仿宋"/>
          <w:sz w:val="32"/>
          <w:szCs w:val="32"/>
        </w:rPr>
        <w:t>%。</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浮梁县1034亩轻度污染区主要分布在浮梁县寿安镇，地块涉及宁厂村委会230户969.54亩及朱溪村委会17户63.99亩；浮梁县1929亩中度污染区主要分布在浮梁县湘湖镇，地块涉及洞口村委会209户1596.49亩及九英山林场62户332.31亩。</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根据现场踏勘，项目实施区域主要种植中稻，采取“土壤钝化剂+叶面阻控(2次)+水分管理”技术措施。</w:t>
      </w:r>
    </w:p>
    <w:p>
      <w:pPr>
        <w:spacing w:line="240" w:lineRule="auto"/>
        <w:rPr>
          <w:rFonts w:hint="eastAsia" w:ascii="仿宋" w:hAnsi="仿宋" w:eastAsia="仿宋" w:cs="仿宋"/>
          <w:sz w:val="32"/>
          <w:szCs w:val="32"/>
        </w:rPr>
      </w:pPr>
      <w:r>
        <w:rPr>
          <w:rFonts w:hint="eastAsia" w:ascii="仿宋" w:hAnsi="仿宋" w:eastAsia="仿宋" w:cs="仿宋"/>
          <w:sz w:val="32"/>
          <w:szCs w:val="32"/>
        </w:rPr>
        <w:t>（1）施撒土壤钝化剂：根据实施地块土壤污染程度的不同，施撒不同数量的土壤钝化剂。其中，寿安镇宁厂村及朱溪村合计1034亩轻度污染耕地的土壤钝化剂使用量为200kg/亩，湘湖镇洞口村及九英山林场合计1929亩中度污染耕地的土壤钝化剂使用量为300kg/亩。</w:t>
      </w:r>
    </w:p>
    <w:p>
      <w:pPr>
        <w:spacing w:line="240" w:lineRule="auto"/>
        <w:rPr>
          <w:rFonts w:hint="eastAsia" w:ascii="仿宋" w:hAnsi="仿宋" w:eastAsia="仿宋" w:cs="仿宋"/>
          <w:sz w:val="32"/>
          <w:szCs w:val="32"/>
        </w:rPr>
      </w:pPr>
      <w:r>
        <w:rPr>
          <w:rFonts w:hint="eastAsia" w:ascii="仿宋" w:hAnsi="仿宋" w:eastAsia="仿宋" w:cs="仿宋"/>
          <w:sz w:val="32"/>
          <w:szCs w:val="32"/>
        </w:rPr>
        <w:t>（2）喷施叶面阻控剂：在水稻的分蘖盛期及抽穗灌浆期分别喷施叶面阻控剂，药量按技术要求施用。</w:t>
      </w:r>
    </w:p>
    <w:p>
      <w:pPr>
        <w:spacing w:line="240" w:lineRule="auto"/>
        <w:rPr>
          <w:rFonts w:hint="eastAsia" w:ascii="仿宋" w:hAnsi="仿宋" w:eastAsia="仿宋" w:cs="仿宋"/>
          <w:sz w:val="32"/>
          <w:szCs w:val="32"/>
        </w:rPr>
      </w:pPr>
      <w:r>
        <w:rPr>
          <w:rFonts w:hint="eastAsia" w:ascii="仿宋" w:hAnsi="仿宋" w:eastAsia="仿宋" w:cs="仿宋"/>
          <w:sz w:val="32"/>
          <w:szCs w:val="32"/>
        </w:rPr>
        <w:t>（3）开展水分管理工作：在分蘖盛期和抽穗灌浆期保持田面水层3-5cm。</w:t>
      </w:r>
    </w:p>
    <w:p>
      <w:pPr>
        <w:spacing w:line="24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项目已于2021年12月全面完成。项目资金为243.62万元，主要用于物资采购125万元，宣传培训10万元，人工工资63万元，检测费7万元，管理费39万元。</w:t>
      </w:r>
    </w:p>
    <w:p>
      <w:pPr>
        <w:spacing w:line="240" w:lineRule="auto"/>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（二）项目绩效目标。</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项目实施的总体目标为2025年受污染耕地安全利用率达95%，2021年目标任务为受污染耕地安全利用率达9</w:t>
      </w:r>
      <w:r>
        <w:rPr>
          <w:rFonts w:hint="eastAsia" w:ascii="仿宋" w:hAnsi="仿宋" w:eastAsia="仿宋" w:cs="仿宋"/>
          <w:sz w:val="32"/>
          <w:szCs w:val="32"/>
          <w:lang w:val="en-US" w:eastAsia="zh-CN"/>
        </w:rPr>
        <w:t>3</w:t>
      </w:r>
      <w:r>
        <w:rPr>
          <w:rFonts w:hint="eastAsia" w:ascii="仿宋" w:hAnsi="仿宋" w:eastAsia="仿宋" w:cs="仿宋"/>
          <w:sz w:val="32"/>
          <w:szCs w:val="32"/>
        </w:rPr>
        <w:t>%。</w:t>
      </w:r>
    </w:p>
    <w:p>
      <w:pPr>
        <w:spacing w:line="240" w:lineRule="auto"/>
        <w:ind w:firstLine="360" w:firstLineChars="100"/>
        <w:rPr>
          <w:rFonts w:hint="eastAsia" w:ascii="黑体" w:hAnsi="黑体" w:eastAsia="黑体" w:cs="黑体"/>
          <w:sz w:val="36"/>
          <w:szCs w:val="36"/>
        </w:rPr>
      </w:pPr>
      <w:r>
        <w:rPr>
          <w:rFonts w:hint="eastAsia" w:ascii="黑体" w:hAnsi="黑体" w:eastAsia="黑体" w:cs="黑体"/>
          <w:sz w:val="36"/>
          <w:szCs w:val="36"/>
        </w:rPr>
        <w:t>二、绩效评价工作开展情况</w:t>
      </w:r>
    </w:p>
    <w:p>
      <w:pPr>
        <w:spacing w:line="240" w:lineRule="auto"/>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（一）绩效评价目的、对象和范围。</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评价目的：推动我县耕地土壤环境质量保护工作，防治和减轻耕地土壤污染，保障农产品质量安全，确保完成污染耕地安全利用任务。</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评价对象：浮梁县2021年受污染耕地安全利用项目</w:t>
      </w:r>
    </w:p>
    <w:p>
      <w:pPr>
        <w:spacing w:line="24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评价范围：</w:t>
      </w:r>
      <w:r>
        <w:rPr>
          <w:rFonts w:hint="eastAsia" w:ascii="仿宋" w:hAnsi="仿宋" w:eastAsia="仿宋" w:cs="仿宋"/>
          <w:color w:val="000000"/>
          <w:sz w:val="32"/>
          <w:szCs w:val="32"/>
        </w:rPr>
        <w:t>效果评价工作的评价范围包括浮梁县寿安镇1034亩轻度污染区及湘湖镇1929亩中度污染区，受污染耕地面积合计2963亩。</w:t>
      </w:r>
    </w:p>
    <w:p>
      <w:pPr>
        <w:spacing w:line="240" w:lineRule="auto"/>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（二）绩效评价原则、评价指标体系、评价方法、评价标准等。</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评价原则：按照科学性、独立性及公正性的原则开展评价工作。</w:t>
      </w:r>
    </w:p>
    <w:p>
      <w:pPr>
        <w:spacing w:line="240" w:lineRule="auto"/>
        <w:rPr>
          <w:rFonts w:hint="eastAsia" w:ascii="仿宋" w:hAnsi="仿宋" w:eastAsia="仿宋" w:cs="仿宋"/>
          <w:sz w:val="32"/>
          <w:szCs w:val="32"/>
        </w:rPr>
      </w:pPr>
      <w:r>
        <w:rPr>
          <w:rFonts w:hint="eastAsia" w:ascii="仿宋" w:hAnsi="仿宋" w:eastAsia="仿宋" w:cs="仿宋"/>
          <w:sz w:val="32"/>
          <w:szCs w:val="32"/>
        </w:rPr>
        <w:t>（1）科学性：综合考虑耕地污染风险评估情况、耕地安全利用实施方案、安全利用措施实施情况及效果等，科学合理地开展耕地安全利用实施效果评价工作。</w:t>
      </w:r>
    </w:p>
    <w:p>
      <w:pPr>
        <w:spacing w:line="240" w:lineRule="auto"/>
        <w:rPr>
          <w:rFonts w:hint="eastAsia" w:ascii="仿宋" w:hAnsi="仿宋" w:eastAsia="仿宋" w:cs="仿宋"/>
          <w:sz w:val="32"/>
          <w:szCs w:val="32"/>
        </w:rPr>
      </w:pPr>
      <w:r>
        <w:rPr>
          <w:rFonts w:hint="eastAsia" w:ascii="仿宋" w:hAnsi="仿宋" w:eastAsia="仿宋" w:cs="仿宋"/>
          <w:sz w:val="32"/>
          <w:szCs w:val="32"/>
        </w:rPr>
        <w:t>（2）独立性：耕地污染安全利用效果评价方案应由第三方效果评价单位编制，并负责组织实施，确保评价工作的独立性和客观性。</w:t>
      </w:r>
    </w:p>
    <w:p>
      <w:pPr>
        <w:spacing w:line="240" w:lineRule="auto"/>
        <w:rPr>
          <w:rFonts w:hint="eastAsia" w:ascii="仿宋" w:hAnsi="仿宋" w:eastAsia="仿宋" w:cs="仿宋"/>
          <w:sz w:val="32"/>
          <w:szCs w:val="32"/>
        </w:rPr>
      </w:pPr>
      <w:r>
        <w:rPr>
          <w:rFonts w:hint="eastAsia" w:ascii="仿宋" w:hAnsi="仿宋" w:eastAsia="仿宋" w:cs="仿宋"/>
          <w:sz w:val="32"/>
          <w:szCs w:val="32"/>
        </w:rPr>
        <w:t>（3）公正性：评价机构应秉持良好的职业操守，依据相关法律、法规和标准，公平、公正、客观、规范地开展耕地污染安全利用效果评价工作，科学、正确地评价耕地污染安全利用效果。</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评价方法：通过评价项目实施区域内农产品可食部位中目标污染物含量变化情况，反映各项技术措施对受污染耕地安全利用的实施效果，得出项目实施区域内耕地安全利用工作成效的总体评价结论。</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评价标准：</w:t>
      </w:r>
    </w:p>
    <w:p>
      <w:pPr>
        <w:spacing w:line="240" w:lineRule="auto"/>
        <w:rPr>
          <w:rFonts w:hint="eastAsia" w:ascii="仿宋" w:hAnsi="仿宋" w:eastAsia="仿宋" w:cs="仿宋"/>
          <w:sz w:val="32"/>
          <w:szCs w:val="32"/>
        </w:rPr>
      </w:pPr>
      <w:r>
        <w:rPr>
          <w:rFonts w:hint="eastAsia" w:ascii="仿宋" w:hAnsi="仿宋" w:eastAsia="仿宋" w:cs="仿宋"/>
          <w:sz w:val="32"/>
          <w:szCs w:val="32"/>
        </w:rPr>
        <w:t>（1）《耕地污染质量效果评价准则》（NY/T 3343-2018）</w:t>
      </w:r>
    </w:p>
    <w:p>
      <w:pPr>
        <w:spacing w:line="240" w:lineRule="auto"/>
        <w:rPr>
          <w:rFonts w:hint="eastAsia" w:ascii="仿宋" w:hAnsi="仿宋" w:eastAsia="仿宋" w:cs="仿宋"/>
          <w:sz w:val="32"/>
          <w:szCs w:val="32"/>
        </w:rPr>
      </w:pPr>
      <w:r>
        <w:rPr>
          <w:rFonts w:hint="eastAsia" w:ascii="仿宋" w:hAnsi="仿宋" w:eastAsia="仿宋" w:cs="仿宋"/>
          <w:sz w:val="32"/>
          <w:szCs w:val="32"/>
        </w:rPr>
        <w:t>（2）《土壤环境质量 农用地土壤污染风险管控标准（试行）》（GB 15618-2018）</w:t>
      </w:r>
    </w:p>
    <w:p>
      <w:pPr>
        <w:spacing w:line="24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（三）绩效评价工作过程。</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相关规范对实施过程进行评价，实施过程均按照实施方案进行，实施面积和物资到货量，施撒量均满足实施方案要求，项目所使用的农业投入品均满足相关规范要求，不会产生二次污染，项目区水稻产量较非项目区产量没有出现减产超过10%的情况。水稻样品合格率为？？？%，满足实施方案要求。</w:t>
      </w:r>
    </w:p>
    <w:p>
      <w:pPr>
        <w:numPr>
          <w:ilvl w:val="0"/>
          <w:numId w:val="0"/>
        </w:numPr>
        <w:spacing w:line="240" w:lineRule="auto"/>
        <w:ind w:firstLine="360" w:firstLineChars="100"/>
        <w:rPr>
          <w:rFonts w:hint="eastAsia" w:ascii="黑体" w:hAnsi="黑体" w:eastAsia="黑体" w:cs="黑体"/>
          <w:sz w:val="36"/>
          <w:szCs w:val="36"/>
        </w:rPr>
      </w:pPr>
      <w:r>
        <w:rPr>
          <w:rFonts w:hint="eastAsia" w:ascii="黑体" w:hAnsi="黑体" w:eastAsia="黑体" w:cs="黑体"/>
          <w:sz w:val="36"/>
          <w:szCs w:val="36"/>
          <w:lang w:val="en-US" w:eastAsia="zh-CN"/>
        </w:rPr>
        <w:t>三、</w:t>
      </w:r>
      <w:r>
        <w:rPr>
          <w:rFonts w:hint="eastAsia" w:ascii="黑体" w:hAnsi="黑体" w:eastAsia="黑体" w:cs="黑体"/>
          <w:sz w:val="36"/>
          <w:szCs w:val="36"/>
        </w:rPr>
        <w:t>综合评价情况及评价结论</w:t>
      </w:r>
    </w:p>
    <w:p>
      <w:pPr>
        <w:numPr>
          <w:ilvl w:val="0"/>
          <w:numId w:val="0"/>
        </w:numPr>
        <w:spacing w:line="240" w:lineRule="auto"/>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2021年共采集32个评估样，其中省级评估点采样任务7个，县级评估点25个。经省厅指定化验室进行化验，</w:t>
      </w:r>
      <w:r>
        <w:rPr>
          <w:rFonts w:hint="eastAsia" w:ascii="仿宋" w:hAnsi="仿宋" w:eastAsia="仿宋" w:cs="仿宋"/>
          <w:b w:val="0"/>
          <w:bCs w:val="0"/>
          <w:sz w:val="32"/>
          <w:szCs w:val="32"/>
        </w:rPr>
        <w:t>水稻样品</w:t>
      </w:r>
      <w:r>
        <w:rPr>
          <w:rFonts w:hint="eastAsia" w:ascii="仿宋" w:hAnsi="仿宋" w:eastAsia="仿宋" w:cs="仿宋"/>
          <w:b w:val="0"/>
          <w:bCs w:val="0"/>
          <w:sz w:val="32"/>
          <w:szCs w:val="32"/>
          <w:lang w:val="en-US" w:eastAsia="zh-CN"/>
        </w:rPr>
        <w:t>检测结果全部达标，</w:t>
      </w:r>
      <w:r>
        <w:rPr>
          <w:rFonts w:hint="eastAsia" w:ascii="仿宋" w:hAnsi="仿宋" w:eastAsia="仿宋" w:cs="仿宋"/>
          <w:b w:val="0"/>
          <w:bCs w:val="0"/>
          <w:sz w:val="32"/>
          <w:szCs w:val="32"/>
        </w:rPr>
        <w:t>合格率为</w:t>
      </w:r>
      <w:r>
        <w:rPr>
          <w:rFonts w:hint="eastAsia" w:ascii="仿宋" w:hAnsi="仿宋" w:eastAsia="仿宋" w:cs="仿宋"/>
          <w:b w:val="0"/>
          <w:bCs w:val="0"/>
          <w:sz w:val="32"/>
          <w:szCs w:val="32"/>
          <w:lang w:val="en-US" w:eastAsia="zh-CN"/>
        </w:rPr>
        <w:t>100</w:t>
      </w:r>
      <w:r>
        <w:rPr>
          <w:rFonts w:hint="eastAsia" w:ascii="仿宋" w:hAnsi="仿宋" w:eastAsia="仿宋" w:cs="仿宋"/>
          <w:b w:val="0"/>
          <w:bCs w:val="0"/>
          <w:sz w:val="32"/>
          <w:szCs w:val="32"/>
        </w:rPr>
        <w:t>%，受污染耕地安全利用率为</w:t>
      </w:r>
      <w:r>
        <w:rPr>
          <w:rFonts w:hint="eastAsia" w:ascii="仿宋" w:hAnsi="仿宋" w:eastAsia="仿宋" w:cs="仿宋"/>
          <w:b w:val="0"/>
          <w:bCs w:val="0"/>
          <w:sz w:val="32"/>
          <w:szCs w:val="32"/>
          <w:lang w:val="en-US" w:eastAsia="zh-CN"/>
        </w:rPr>
        <w:t>100</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达到超过省厅规定受污染耕地安全利用率93%的目标任务。</w:t>
      </w:r>
    </w:p>
    <w:p>
      <w:pPr>
        <w:spacing w:line="240" w:lineRule="auto"/>
        <w:ind w:firstLine="360" w:firstLineChars="100"/>
        <w:rPr>
          <w:rFonts w:hint="eastAsia" w:ascii="黑体" w:hAnsi="黑体" w:eastAsia="黑体" w:cs="黑体"/>
          <w:sz w:val="36"/>
          <w:szCs w:val="36"/>
        </w:rPr>
      </w:pPr>
      <w:r>
        <w:rPr>
          <w:rFonts w:hint="eastAsia" w:ascii="黑体" w:hAnsi="黑体" w:eastAsia="黑体" w:cs="黑体"/>
          <w:sz w:val="36"/>
          <w:szCs w:val="36"/>
        </w:rPr>
        <w:t>四、绩效评价指标分析</w:t>
      </w:r>
    </w:p>
    <w:p>
      <w:pPr>
        <w:spacing w:line="240" w:lineRule="auto"/>
        <w:ind w:firstLine="643" w:firstLineChars="200"/>
        <w:outlineLvl w:val="0"/>
        <w:rPr>
          <w:rFonts w:hint="eastAsia" w:ascii="仿宋" w:hAnsi="仿宋" w:eastAsia="仿宋" w:cs="仿宋"/>
          <w:sz w:val="32"/>
          <w:szCs w:val="32"/>
          <w:lang w:val="en-US" w:eastAsia="zh-CN"/>
        </w:rPr>
      </w:pPr>
      <w:r>
        <w:rPr>
          <w:rFonts w:hint="eastAsia" w:ascii="仿宋" w:hAnsi="仿宋" w:eastAsia="仿宋" w:cs="仿宋"/>
          <w:b/>
          <w:bCs/>
          <w:sz w:val="32"/>
          <w:szCs w:val="32"/>
        </w:rPr>
        <w:t>（一）项目决策情况。</w:t>
      </w:r>
      <w:r>
        <w:rPr>
          <w:rFonts w:hint="eastAsia" w:ascii="仿宋" w:hAnsi="仿宋" w:eastAsia="仿宋" w:cs="仿宋"/>
          <w:sz w:val="32"/>
          <w:szCs w:val="32"/>
          <w:lang w:val="en-US" w:eastAsia="zh-CN"/>
        </w:rPr>
        <w:t>根据</w:t>
      </w:r>
      <w:r>
        <w:rPr>
          <w:rFonts w:hint="eastAsia" w:ascii="仿宋" w:hAnsi="仿宋" w:eastAsia="仿宋" w:cs="仿宋"/>
          <w:color w:val="000000"/>
          <w:sz w:val="32"/>
          <w:szCs w:val="32"/>
          <w:highlight w:val="none"/>
          <w:u w:val="none"/>
        </w:rPr>
        <w:t>国务院关于印发《土壤污染防治行动计划》的通知（国发〔2016〕31 号）</w:t>
      </w:r>
      <w:r>
        <w:rPr>
          <w:rFonts w:hint="eastAsia" w:ascii="仿宋" w:hAnsi="仿宋" w:eastAsia="仿宋" w:cs="仿宋"/>
          <w:color w:val="000000"/>
          <w:sz w:val="32"/>
          <w:szCs w:val="32"/>
          <w:highlight w:val="none"/>
          <w:u w:val="none"/>
          <w:lang w:val="en-US" w:eastAsia="zh-CN"/>
        </w:rPr>
        <w:t>以及《中华人民共和国土壤污染防治法》（2019年1月1日起执行），要求对受污染耕地进行治理，资金由各地方政府财政支出。</w:t>
      </w:r>
    </w:p>
    <w:p>
      <w:pPr>
        <w:numPr>
          <w:ilvl w:val="0"/>
          <w:numId w:val="0"/>
        </w:numPr>
        <w:spacing w:line="360" w:lineRule="auto"/>
        <w:ind w:firstLine="643" w:firstLineChars="200"/>
        <w:rPr>
          <w:rFonts w:hint="eastAsia" w:ascii="仿宋" w:hAnsi="仿宋" w:eastAsia="仿宋" w:cs="仿宋"/>
          <w:b w:val="0"/>
          <w:bCs w:val="0"/>
          <w:sz w:val="32"/>
          <w:szCs w:val="32"/>
          <w:lang w:val="en-US" w:eastAsia="zh-CN"/>
        </w:rPr>
      </w:pPr>
      <w:r>
        <w:rPr>
          <w:rFonts w:hint="eastAsia" w:ascii="仿宋" w:hAnsi="仿宋" w:eastAsia="仿宋" w:cs="仿宋"/>
          <w:b/>
          <w:bCs/>
          <w:sz w:val="32"/>
          <w:szCs w:val="32"/>
        </w:rPr>
        <w:t>（二）项目过程情况。</w:t>
      </w:r>
      <w:r>
        <w:rPr>
          <w:rFonts w:hint="eastAsia" w:ascii="仿宋" w:hAnsi="仿宋" w:eastAsia="仿宋" w:cs="仿宋"/>
          <w:b/>
          <w:bCs/>
          <w:sz w:val="32"/>
          <w:szCs w:val="32"/>
          <w:lang w:val="en-US" w:eastAsia="zh-CN"/>
        </w:rPr>
        <w:t>轻度污染区：</w:t>
      </w:r>
      <w:r>
        <w:rPr>
          <w:rFonts w:hint="eastAsia" w:ascii="仿宋" w:hAnsi="仿宋" w:eastAsia="仿宋" w:cs="仿宋"/>
          <w:b w:val="0"/>
          <w:bCs w:val="0"/>
          <w:sz w:val="32"/>
          <w:szCs w:val="32"/>
          <w:lang w:val="en-US" w:eastAsia="zh-CN"/>
        </w:rPr>
        <w:t>一是撒施土壤调酸物质。寿安镇聘请专业人员实行包村组撒施特贝钙土壤调理剂。共采购特贝钙207吨，前期撒施钝化剂特贝钙200kg，完成1034亩撒施任务面积。二是水分管理。寿安镇聘请农村经验丰富的10名农民为水管员，负责稻田水稻生长期（6月1日-10月31日）的水分管理，每人负责100亩。要求田间要有水，</w:t>
      </w:r>
      <w:r>
        <w:rPr>
          <w:rFonts w:hint="eastAsia" w:ascii="仿宋" w:hAnsi="仿宋" w:eastAsia="仿宋" w:cs="仿宋"/>
          <w:sz w:val="32"/>
          <w:szCs w:val="32"/>
          <w:lang w:val="en-US" w:eastAsia="zh-CN"/>
        </w:rPr>
        <w:t>特别是</w:t>
      </w:r>
      <w:r>
        <w:rPr>
          <w:rFonts w:hint="eastAsia" w:ascii="仿宋" w:hAnsi="仿宋" w:eastAsia="仿宋" w:cs="仿宋"/>
          <w:color w:val="000000"/>
          <w:kern w:val="0"/>
          <w:sz w:val="32"/>
          <w:szCs w:val="32"/>
        </w:rPr>
        <w:t>在水稻分蘖盛期和抽穗灌浆期保持田间水层3-5cm，防止晒田过重或干旱</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三是</w:t>
      </w:r>
      <w:r>
        <w:rPr>
          <w:rFonts w:hint="eastAsia" w:ascii="仿宋" w:hAnsi="仿宋" w:eastAsia="仿宋" w:cs="仿宋"/>
          <w:b w:val="0"/>
          <w:bCs w:val="0"/>
          <w:sz w:val="32"/>
          <w:szCs w:val="32"/>
          <w:lang w:val="en-US" w:eastAsia="zh-CN"/>
        </w:rPr>
        <w:t>喷施叶面阻控剂。在8月份水稻分蘖盛期及</w:t>
      </w:r>
      <w:r>
        <w:rPr>
          <w:rFonts w:hint="eastAsia" w:ascii="仿宋" w:hAnsi="仿宋" w:eastAsia="仿宋" w:cs="仿宋"/>
          <w:color w:val="000000"/>
          <w:kern w:val="0"/>
          <w:sz w:val="32"/>
          <w:szCs w:val="32"/>
        </w:rPr>
        <w:t>抽穗灌浆期前喷施2次叶面阻控剂</w:t>
      </w:r>
      <w:r>
        <w:rPr>
          <w:rFonts w:hint="eastAsia" w:ascii="仿宋" w:hAnsi="仿宋" w:eastAsia="仿宋" w:cs="仿宋"/>
          <w:color w:val="000000"/>
          <w:kern w:val="0"/>
          <w:sz w:val="32"/>
          <w:szCs w:val="32"/>
          <w:lang w:eastAsia="zh-CN"/>
        </w:rPr>
        <w:t>，</w:t>
      </w:r>
      <w:r>
        <w:rPr>
          <w:rFonts w:hint="eastAsia" w:ascii="仿宋" w:hAnsi="仿宋" w:eastAsia="仿宋" w:cs="仿宋"/>
          <w:b w:val="0"/>
          <w:bCs w:val="0"/>
          <w:sz w:val="32"/>
          <w:szCs w:val="32"/>
          <w:lang w:val="en-US" w:eastAsia="zh-CN"/>
        </w:rPr>
        <w:t>采取无人机喷施叶面阻控剂--抑隔灵，每亩250ml，每瓶4亩，共采购抑隔灵500瓶。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中度污染区：</w:t>
      </w:r>
      <w:r>
        <w:rPr>
          <w:rFonts w:hint="eastAsia" w:ascii="仿宋" w:hAnsi="仿宋" w:eastAsia="仿宋" w:cs="仿宋"/>
          <w:b w:val="0"/>
          <w:bCs w:val="0"/>
          <w:sz w:val="32"/>
          <w:szCs w:val="32"/>
          <w:lang w:val="en-US" w:eastAsia="zh-CN"/>
        </w:rPr>
        <w:t>湘湖镇中度污染区1929亩，聘请专业人员实行包村组撒施特贝钙土壤调理剂。（1）土壤调酸。</w:t>
      </w:r>
      <w:r>
        <w:rPr>
          <w:rFonts w:hint="eastAsia" w:ascii="仿宋" w:hAnsi="仿宋" w:eastAsia="仿宋" w:cs="仿宋"/>
          <w:sz w:val="32"/>
          <w:szCs w:val="32"/>
          <w:lang w:eastAsia="zh-CN"/>
        </w:rPr>
        <w:t>在中稻</w:t>
      </w:r>
      <w:r>
        <w:rPr>
          <w:rFonts w:hint="eastAsia" w:ascii="仿宋" w:hAnsi="仿宋" w:eastAsia="仿宋" w:cs="仿宋"/>
          <w:sz w:val="32"/>
          <w:szCs w:val="32"/>
          <w:lang w:val="en-US" w:eastAsia="zh-CN"/>
        </w:rPr>
        <w:t>种植前期每亩撒施300公斤石灰，共撒579吨特贝钙。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（2）叶面阻控剂。</w:t>
      </w:r>
      <w:r>
        <w:rPr>
          <w:rFonts w:hint="eastAsia" w:ascii="仿宋" w:hAnsi="仿宋" w:eastAsia="仿宋" w:cs="仿宋"/>
          <w:b w:val="0"/>
          <w:bCs w:val="0"/>
          <w:sz w:val="32"/>
          <w:szCs w:val="32"/>
          <w:lang w:val="en-US" w:eastAsia="zh-CN"/>
        </w:rPr>
        <w:t>在8月份水稻分蘖盛期及</w:t>
      </w:r>
      <w:r>
        <w:rPr>
          <w:rFonts w:hint="eastAsia" w:ascii="仿宋" w:hAnsi="仿宋" w:eastAsia="仿宋" w:cs="仿宋"/>
          <w:color w:val="000000"/>
          <w:kern w:val="0"/>
          <w:sz w:val="32"/>
          <w:szCs w:val="32"/>
        </w:rPr>
        <w:t>抽穗灌浆期前喷施2次叶面阻控剂</w:t>
      </w:r>
      <w:r>
        <w:rPr>
          <w:rFonts w:hint="eastAsia" w:ascii="仿宋" w:hAnsi="仿宋" w:eastAsia="仿宋" w:cs="仿宋"/>
          <w:color w:val="000000"/>
          <w:kern w:val="0"/>
          <w:sz w:val="32"/>
          <w:szCs w:val="32"/>
          <w:lang w:eastAsia="zh-CN"/>
        </w:rPr>
        <w:t>，</w:t>
      </w:r>
      <w:r>
        <w:rPr>
          <w:rFonts w:hint="eastAsia" w:ascii="仿宋" w:hAnsi="仿宋" w:eastAsia="仿宋" w:cs="仿宋"/>
          <w:b w:val="0"/>
          <w:bCs w:val="0"/>
          <w:sz w:val="32"/>
          <w:szCs w:val="32"/>
          <w:lang w:val="en-US" w:eastAsia="zh-CN"/>
        </w:rPr>
        <w:t>采取无人机喷施叶面阻控剂--抑隔灵，每亩250ml，每瓶4亩，共采购抑隔灵1000瓶。</w:t>
      </w:r>
    </w:p>
    <w:p>
      <w:pPr>
        <w:numPr>
          <w:ilvl w:val="0"/>
          <w:numId w:val="0"/>
        </w:numPr>
        <w:spacing w:line="240" w:lineRule="auto"/>
        <w:ind w:firstLine="640" w:firstLineChars="200"/>
        <w:rPr>
          <w:rFonts w:hint="eastAsia" w:ascii="仿宋" w:hAnsi="仿宋" w:eastAsia="仿宋" w:cs="仿宋"/>
          <w:color w:val="000000"/>
          <w:kern w:val="0"/>
          <w:sz w:val="32"/>
          <w:szCs w:val="32"/>
          <w:lang w:eastAsia="zh-CN"/>
        </w:rPr>
      </w:pPr>
      <w:r>
        <w:rPr>
          <w:rFonts w:hint="eastAsia" w:ascii="仿宋" w:hAnsi="仿宋" w:eastAsia="仿宋" w:cs="仿宋"/>
          <w:sz w:val="32"/>
          <w:szCs w:val="32"/>
          <w:lang w:val="en-US" w:eastAsia="zh-CN"/>
        </w:rPr>
        <w:t>（3）、水分管理。湘湖镇</w:t>
      </w:r>
      <w:r>
        <w:rPr>
          <w:rFonts w:hint="eastAsia" w:ascii="仿宋" w:hAnsi="仿宋" w:eastAsia="仿宋" w:cs="仿宋"/>
          <w:b w:val="0"/>
          <w:bCs w:val="0"/>
          <w:sz w:val="32"/>
          <w:szCs w:val="32"/>
          <w:lang w:val="en-US" w:eastAsia="zh-CN"/>
        </w:rPr>
        <w:t>聘请农村经验丰富的20名农民为水管员，负责稻田水稻生长期（6月1日-10月31日）的水分管理，每人负责100亩。</w:t>
      </w:r>
      <w:r>
        <w:rPr>
          <w:rFonts w:hint="eastAsia" w:ascii="仿宋" w:hAnsi="仿宋" w:eastAsia="仿宋" w:cs="仿宋"/>
          <w:sz w:val="32"/>
          <w:szCs w:val="32"/>
          <w:lang w:val="en-US" w:eastAsia="zh-CN"/>
        </w:rPr>
        <w:t>在水稻生长期实行淹水管理，特别是</w:t>
      </w:r>
      <w:r>
        <w:rPr>
          <w:rFonts w:hint="eastAsia" w:ascii="仿宋" w:hAnsi="仿宋" w:eastAsia="仿宋" w:cs="仿宋"/>
          <w:color w:val="000000"/>
          <w:kern w:val="0"/>
          <w:sz w:val="32"/>
          <w:szCs w:val="32"/>
        </w:rPr>
        <w:t>在水稻分蘖盛期和抽穗灌浆期保持田间水层3-5cm，防止晒田过重或干旱</w:t>
      </w:r>
      <w:r>
        <w:rPr>
          <w:rFonts w:hint="eastAsia" w:ascii="仿宋" w:hAnsi="仿宋" w:eastAsia="仿宋" w:cs="仿宋"/>
          <w:color w:val="000000"/>
          <w:kern w:val="0"/>
          <w:sz w:val="32"/>
          <w:szCs w:val="32"/>
          <w:lang w:eastAsia="zh-CN"/>
        </w:rPr>
        <w:t>。</w:t>
      </w:r>
    </w:p>
    <w:p>
      <w:pPr>
        <w:numPr>
          <w:ilvl w:val="0"/>
          <w:numId w:val="0"/>
        </w:numPr>
        <w:spacing w:line="240" w:lineRule="auto"/>
        <w:ind w:firstLine="643" w:firstLineChars="200"/>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评估点采样：</w:t>
      </w:r>
      <w:r>
        <w:rPr>
          <w:rFonts w:hint="eastAsia" w:ascii="仿宋" w:hAnsi="仿宋" w:eastAsia="仿宋" w:cs="仿宋"/>
          <w:b w:val="0"/>
          <w:bCs w:val="0"/>
          <w:sz w:val="32"/>
          <w:szCs w:val="32"/>
          <w:lang w:val="en-US" w:eastAsia="zh-CN"/>
        </w:rPr>
        <w:t>9-11月份在水稻收割前期，按照省厅要求，县局组织技术人员对安全利用水稻进行采样工作，共采省控评估点样7个，其中寿安镇3个，湘湖镇4个。自评估样25个，其中寿安镇7个，湘湖镇18个。严格按照采样程序实行，所有样品全部放室内晾干制备包装分别送鹰潭市912地矿研究所7个评估样，送江西省农科院绿色食品环境检测中心25个自评估样进行检测，经化验结果重金属隔在安全食用范围内。</w:t>
      </w:r>
    </w:p>
    <w:p>
      <w:pPr>
        <w:spacing w:line="240" w:lineRule="auto"/>
        <w:ind w:firstLine="640" w:firstLineChars="200"/>
        <w:outlineLvl w:val="0"/>
        <w:rPr>
          <w:rFonts w:hint="eastAsia" w:ascii="仿宋" w:hAnsi="仿宋" w:eastAsia="仿宋" w:cs="仿宋"/>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 w:val="0"/>
          <w:bCs w:val="0"/>
          <w:kern w:val="2"/>
          <w:sz w:val="32"/>
          <w:szCs w:val="32"/>
          <w:highlight w:val="none"/>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w:t>
      </w:r>
      <w:r>
        <w:rPr>
          <w:rFonts w:hint="eastAsia" w:ascii="仿宋" w:hAnsi="仿宋" w:eastAsia="仿宋" w:cs="仿宋"/>
          <w:sz w:val="32"/>
          <w:szCs w:val="32"/>
          <w:lang w:val="en-US" w:eastAsia="zh-CN"/>
        </w:rPr>
        <w:t>数量指标：完成</w:t>
      </w:r>
      <w:r>
        <w:rPr>
          <w:rFonts w:hint="eastAsia" w:ascii="仿宋" w:hAnsi="仿宋" w:eastAsia="仿宋" w:cs="仿宋"/>
          <w:b w:val="0"/>
          <w:bCs w:val="0"/>
          <w:kern w:val="2"/>
          <w:sz w:val="32"/>
          <w:szCs w:val="32"/>
          <w:highlight w:val="none"/>
          <w:lang w:val="en-US" w:eastAsia="zh-CN"/>
        </w:rPr>
        <w:t>受污染耕地安全利用率评估点位32个稻谷样品采集与送样</w:t>
      </w:r>
      <w:r>
        <w:rPr>
          <w:rFonts w:hint="eastAsia" w:ascii="仿宋" w:hAnsi="仿宋" w:eastAsia="仿宋" w:cs="仿宋"/>
          <w:b w:val="0"/>
          <w:bCs w:val="0"/>
          <w:kern w:val="2"/>
          <w:sz w:val="32"/>
          <w:szCs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 w:leftChars="0" w:firstLine="64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质量指标：编制了《浮梁县</w:t>
      </w:r>
      <w:r>
        <w:rPr>
          <w:rFonts w:hint="eastAsia" w:ascii="仿宋" w:hAnsi="仿宋" w:eastAsia="仿宋" w:cs="仿宋"/>
          <w:b w:val="0"/>
          <w:bCs w:val="0"/>
          <w:kern w:val="2"/>
          <w:sz w:val="32"/>
          <w:szCs w:val="32"/>
          <w:highlight w:val="none"/>
          <w:lang w:val="en-US" w:eastAsia="zh-CN"/>
        </w:rPr>
        <w:t>2021年受污染耕地安全利用工作方案》及《浮梁县2021年受污染耕地安全利用实施方案》，样品采集与送检样品均符合质量要求</w:t>
      </w:r>
      <w:r>
        <w:rPr>
          <w:rFonts w:hint="eastAsia" w:ascii="仿宋" w:hAnsi="仿宋" w:eastAsia="仿宋" w:cs="仿宋"/>
          <w:sz w:val="32"/>
          <w:szCs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 w:leftChars="0" w:firstLine="640" w:firstLineChars="0"/>
        <w:textAlignment w:val="auto"/>
        <w:rPr>
          <w:rFonts w:hint="eastAsia" w:ascii="仿宋" w:hAnsi="仿宋" w:eastAsia="仿宋" w:cs="仿宋"/>
          <w:sz w:val="32"/>
          <w:szCs w:val="32"/>
          <w:highlight w:val="none"/>
          <w:lang w:val="en-US" w:eastAsia="zh-CN"/>
        </w:rPr>
      </w:pPr>
      <w:r>
        <w:rPr>
          <w:rFonts w:hint="eastAsia" w:ascii="仿宋" w:hAnsi="仿宋" w:eastAsia="仿宋" w:cs="仿宋"/>
          <w:b w:val="0"/>
          <w:bCs w:val="0"/>
          <w:kern w:val="2"/>
          <w:sz w:val="32"/>
          <w:szCs w:val="32"/>
          <w:lang w:val="en-US" w:eastAsia="zh-CN"/>
        </w:rPr>
        <w:t>时效指标:</w:t>
      </w:r>
      <w:r>
        <w:rPr>
          <w:rFonts w:hint="eastAsia" w:ascii="仿宋" w:hAnsi="仿宋" w:eastAsia="仿宋" w:cs="仿宋"/>
          <w:b w:val="0"/>
          <w:bCs w:val="0"/>
          <w:kern w:val="2"/>
          <w:sz w:val="32"/>
          <w:szCs w:val="32"/>
          <w:highlight w:val="none"/>
          <w:lang w:val="en-US" w:eastAsia="zh-CN"/>
        </w:rPr>
        <w:t>受污染耕地安全利用率评估点位样品采集和送样及时率达到100％。</w:t>
      </w:r>
    </w:p>
    <w:p>
      <w:pPr>
        <w:pStyle w:val="3"/>
        <w:keepNext/>
        <w:keepLines/>
        <w:pageBreakBefore w:val="0"/>
        <w:widowControl w:val="0"/>
        <w:kinsoku/>
        <w:wordWrap/>
        <w:overflowPunct/>
        <w:topLinePunct w:val="0"/>
        <w:autoSpaceDE/>
        <w:autoSpaceDN/>
        <w:bidi w:val="0"/>
        <w:adjustRightInd/>
        <w:snapToGrid/>
        <w:spacing w:before="0" w:after="0" w:line="240" w:lineRule="auto"/>
        <w:ind w:left="0" w:firstLine="640" w:firstLineChars="200"/>
        <w:textAlignment w:val="auto"/>
        <w:rPr>
          <w:rFonts w:hint="eastAsia" w:ascii="仿宋" w:hAnsi="仿宋" w:eastAsia="仿宋" w:cs="仿宋"/>
          <w:b w:val="0"/>
          <w:bCs w:val="0"/>
          <w:kern w:val="2"/>
          <w:sz w:val="32"/>
          <w:szCs w:val="32"/>
          <w:lang w:val="en-US" w:eastAsia="zh-CN"/>
        </w:rPr>
      </w:pPr>
      <w:r>
        <w:rPr>
          <w:rFonts w:hint="eastAsia" w:ascii="仿宋" w:hAnsi="仿宋" w:eastAsia="仿宋" w:cs="仿宋"/>
          <w:b w:val="0"/>
          <w:bCs w:val="0"/>
          <w:kern w:val="2"/>
          <w:sz w:val="32"/>
          <w:szCs w:val="32"/>
          <w:lang w:val="en-US" w:eastAsia="zh-CN"/>
        </w:rPr>
        <w:t>（4）成本指标：项目资金总投入成本243.62万元，资金使用分配未超过投入成本，符合投入成本控制要求。</w:t>
      </w:r>
    </w:p>
    <w:p>
      <w:pPr>
        <w:spacing w:line="240" w:lineRule="auto"/>
        <w:ind w:firstLine="321" w:firstLineChars="100"/>
        <w:outlineLvl w:val="0"/>
        <w:rPr>
          <w:rFonts w:hint="eastAsia" w:ascii="仿宋" w:hAnsi="仿宋" w:eastAsia="仿宋" w:cs="仿宋"/>
          <w:b/>
          <w:bCs/>
          <w:sz w:val="32"/>
          <w:szCs w:val="32"/>
        </w:rPr>
      </w:pPr>
      <w:r>
        <w:rPr>
          <w:rFonts w:hint="eastAsia" w:ascii="仿宋" w:hAnsi="仿宋" w:eastAsia="仿宋" w:cs="仿宋"/>
          <w:b/>
          <w:bCs/>
          <w:sz w:val="32"/>
          <w:szCs w:val="32"/>
        </w:rPr>
        <w:t>（四）项目效益情况。</w:t>
      </w:r>
    </w:p>
    <w:p>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浮梁县2021年受污染耕地安全利用项目的开展和实施，可以带来一定的经济效益、社会效益和环境效益。</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（1）经济效益：通过本项目的实施，受污染耕地安全利用工作将有效保障可食用农产品中重金属含量安全，使用的土壤钝化剂能一定程度改善土壤环境，降低重金属污染物的生态风险。</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2）社会效益：通过本项目的实施，受污染耕地治理修复将有效保障可食用农产品中重金属含量安全，进而保障国家粮食安全和居民健康安全。项目实施对当地污染土壤进行有效修复，使土壤性质、状况符合使用功能的要求，可以建设一批土壤生态修复示范工程，为全面解决农田土壤重金属污染问题积累技术经验、管理经验，为省内乃至全国土壤污染修复工作起到积极的示范作用。</w:t>
      </w:r>
    </w:p>
    <w:p>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3）环境效益：本项目采用的各项技术措施可有效降低土壤中重金属有效性，降低地下水重金属超标风险。我国耕地资源紧缺，土壤修复有利于保护土地资源，提高土地利用率。污染地区土壤中超标重金属达到《土壤环境质量农用地土壤风险管控标准（试行）》（GB15618-2018）对应土地利用类型要求，土壤性质得到明显改良，土壤生态功能得到显著的恢复，对地下水、农产品及周边环境的污染风险大大降低。</w:t>
      </w:r>
    </w:p>
    <w:p>
      <w:pPr>
        <w:spacing w:line="240" w:lineRule="auto"/>
        <w:ind w:firstLine="360" w:firstLineChars="100"/>
        <w:rPr>
          <w:rFonts w:hint="eastAsia" w:ascii="黑体" w:hAnsi="黑体" w:eastAsia="黑体" w:cs="黑体"/>
          <w:sz w:val="36"/>
          <w:szCs w:val="36"/>
        </w:rPr>
      </w:pPr>
      <w:r>
        <w:rPr>
          <w:rFonts w:hint="eastAsia" w:ascii="黑体" w:hAnsi="黑体" w:eastAsia="黑体" w:cs="黑体"/>
          <w:sz w:val="36"/>
          <w:szCs w:val="36"/>
        </w:rPr>
        <w:t>五、主要经验及做法、存在的问题及原因分析</w:t>
      </w:r>
    </w:p>
    <w:p>
      <w:pPr>
        <w:pStyle w:val="2"/>
        <w:spacing w:line="240" w:lineRule="auto"/>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验做法：1、根据治理区具体情况，科学编制实施方案，要求经专家评审通过后实施。2、按照实施方案要求，按程序及时间节点完成阶段任务。3、水分管控是三个环节中重要一环，能够降低水稻对重金属镉的吸收。</w:t>
      </w:r>
    </w:p>
    <w:p>
      <w:pPr>
        <w:numPr>
          <w:ilvl w:val="0"/>
          <w:numId w:val="0"/>
        </w:numPr>
        <w:spacing w:line="240" w:lineRule="auto"/>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存在问题：</w:t>
      </w:r>
      <w:r>
        <w:rPr>
          <w:rFonts w:hint="eastAsia" w:ascii="仿宋" w:hAnsi="仿宋" w:eastAsia="仿宋" w:cs="仿宋"/>
          <w:sz w:val="32"/>
          <w:szCs w:val="32"/>
          <w:lang w:val="en-US" w:eastAsia="zh-CN"/>
        </w:rPr>
        <w:t>1、由于治理任务下达较晚，前期准备工作不足，工作推进较匆忙。2、技术支撑不够，由于此项工作属于新技术，我们理解摸索还需要时间。3、资金下达较晚，导致工作不敢超前开展。</w:t>
      </w:r>
    </w:p>
    <w:p>
      <w:pPr>
        <w:spacing w:line="240" w:lineRule="auto"/>
        <w:ind w:firstLine="360" w:firstLineChars="100"/>
        <w:rPr>
          <w:rFonts w:hint="eastAsia" w:ascii="黑体" w:hAnsi="黑体" w:eastAsia="黑体" w:cs="黑体"/>
          <w:sz w:val="36"/>
          <w:szCs w:val="36"/>
        </w:rPr>
      </w:pPr>
      <w:r>
        <w:rPr>
          <w:rFonts w:hint="eastAsia" w:ascii="黑体" w:hAnsi="黑体" w:eastAsia="黑体" w:cs="黑体"/>
          <w:sz w:val="36"/>
          <w:szCs w:val="36"/>
        </w:rPr>
        <w:t>六、有关建议</w:t>
      </w:r>
    </w:p>
    <w:p>
      <w:pPr>
        <w:tabs>
          <w:tab w:val="left" w:pos="785"/>
        </w:tabs>
        <w:bidi w:val="0"/>
        <w:spacing w:line="240" w:lineRule="auto"/>
        <w:ind w:firstLine="320" w:firstLineChars="100"/>
        <w:jc w:val="left"/>
        <w:rPr>
          <w:rStyle w:val="11"/>
          <w:rFonts w:hint="eastAsia" w:ascii="仿宋" w:hAnsi="仿宋" w:eastAsia="仿宋" w:cs="仿宋"/>
          <w:color w:val="2B2B2B"/>
          <w:sz w:val="32"/>
          <w:szCs w:val="32"/>
          <w:u w:val="none"/>
          <w:lang w:val="en-US" w:eastAsia="zh-CN"/>
        </w:rPr>
      </w:pPr>
      <w:r>
        <w:rPr>
          <w:rFonts w:hint="eastAsia" w:ascii="仿宋" w:hAnsi="仿宋" w:eastAsia="仿宋" w:cs="仿宋"/>
          <w:kern w:val="2"/>
          <w:sz w:val="32"/>
          <w:szCs w:val="32"/>
          <w:lang w:val="en-US" w:eastAsia="zh-CN" w:bidi="ar-SA"/>
        </w:rPr>
        <w:t>1.加强</w:t>
      </w:r>
      <w:r>
        <w:rPr>
          <w:rStyle w:val="11"/>
          <w:rFonts w:hint="eastAsia" w:ascii="仿宋" w:hAnsi="仿宋" w:eastAsia="仿宋" w:cs="仿宋"/>
          <w:color w:val="2B2B2B"/>
          <w:sz w:val="32"/>
          <w:szCs w:val="32"/>
          <w:u w:val="none"/>
          <w:lang w:eastAsia="zh-CN"/>
        </w:rPr>
        <w:t>专业技术培训，建立健全</w:t>
      </w:r>
      <w:r>
        <w:rPr>
          <w:rStyle w:val="11"/>
          <w:rFonts w:hint="eastAsia" w:ascii="仿宋" w:hAnsi="仿宋" w:eastAsia="仿宋" w:cs="仿宋"/>
          <w:color w:val="2B2B2B"/>
          <w:sz w:val="32"/>
          <w:szCs w:val="32"/>
          <w:u w:val="none"/>
          <w:lang w:val="en-US" w:eastAsia="zh-CN"/>
        </w:rPr>
        <w:t>污染治理专业人才。</w:t>
      </w:r>
    </w:p>
    <w:p>
      <w:pPr>
        <w:tabs>
          <w:tab w:val="left" w:pos="785"/>
        </w:tabs>
        <w:bidi w:val="0"/>
        <w:spacing w:line="240" w:lineRule="auto"/>
        <w:ind w:firstLine="320" w:firstLineChars="100"/>
        <w:jc w:val="left"/>
        <w:rPr>
          <w:rStyle w:val="11"/>
          <w:rFonts w:hint="eastAsia" w:ascii="仿宋" w:hAnsi="仿宋" w:eastAsia="仿宋" w:cs="仿宋"/>
          <w:color w:val="2B2B2B"/>
          <w:sz w:val="32"/>
          <w:szCs w:val="32"/>
          <w:u w:val="none"/>
          <w:lang w:val="en-US" w:eastAsia="zh-CN"/>
        </w:rPr>
      </w:pPr>
      <w:r>
        <w:rPr>
          <w:rStyle w:val="11"/>
          <w:rFonts w:hint="eastAsia" w:ascii="仿宋" w:hAnsi="仿宋" w:eastAsia="仿宋" w:cs="仿宋"/>
          <w:color w:val="2B2B2B"/>
          <w:sz w:val="32"/>
          <w:szCs w:val="32"/>
          <w:u w:val="none"/>
          <w:lang w:val="en-US" w:eastAsia="zh-CN"/>
        </w:rPr>
        <w:t>2.明晰职责划分，进一步理顺各部门工作职责，各司其职，共同完成污染耕地治理目标任务。</w:t>
      </w:r>
    </w:p>
    <w:p>
      <w:pPr>
        <w:tabs>
          <w:tab w:val="left" w:pos="785"/>
        </w:tabs>
        <w:bidi w:val="0"/>
        <w:spacing w:line="240" w:lineRule="auto"/>
        <w:ind w:firstLine="320" w:firstLineChars="100"/>
        <w:jc w:val="left"/>
        <w:rPr>
          <w:rStyle w:val="11"/>
          <w:rFonts w:hint="eastAsia" w:ascii="仿宋" w:hAnsi="仿宋" w:eastAsia="仿宋" w:cs="仿宋"/>
          <w:color w:val="2B2B2B"/>
          <w:sz w:val="32"/>
          <w:szCs w:val="32"/>
          <w:u w:val="none"/>
          <w:lang w:eastAsia="zh-CN"/>
        </w:rPr>
      </w:pPr>
      <w:r>
        <w:rPr>
          <w:rStyle w:val="11"/>
          <w:rFonts w:hint="eastAsia" w:ascii="仿宋" w:hAnsi="仿宋" w:eastAsia="仿宋" w:cs="仿宋"/>
          <w:color w:val="2B2B2B"/>
          <w:sz w:val="32"/>
          <w:szCs w:val="32"/>
          <w:u w:val="none"/>
          <w:lang w:val="en-US" w:eastAsia="zh-CN"/>
        </w:rPr>
        <w:t>3.加大</w:t>
      </w:r>
      <w:r>
        <w:rPr>
          <w:rStyle w:val="11"/>
          <w:rFonts w:hint="eastAsia" w:ascii="仿宋" w:hAnsi="仿宋" w:eastAsia="仿宋" w:cs="仿宋"/>
          <w:color w:val="2B2B2B"/>
          <w:sz w:val="32"/>
          <w:szCs w:val="32"/>
          <w:u w:val="none"/>
          <w:lang w:eastAsia="zh-CN"/>
        </w:rPr>
        <w:t>专项资金投入，</w:t>
      </w:r>
      <w:r>
        <w:rPr>
          <w:rStyle w:val="11"/>
          <w:rFonts w:hint="eastAsia" w:ascii="仿宋" w:hAnsi="仿宋" w:eastAsia="仿宋" w:cs="仿宋"/>
          <w:color w:val="2B2B2B"/>
          <w:sz w:val="32"/>
          <w:szCs w:val="32"/>
          <w:u w:val="none"/>
          <w:lang w:val="en-US" w:eastAsia="zh-CN"/>
        </w:rPr>
        <w:t>进一步</w:t>
      </w:r>
      <w:r>
        <w:rPr>
          <w:rStyle w:val="11"/>
          <w:rFonts w:hint="eastAsia" w:ascii="仿宋" w:hAnsi="仿宋" w:eastAsia="仿宋" w:cs="仿宋"/>
          <w:color w:val="2B2B2B"/>
          <w:sz w:val="32"/>
          <w:szCs w:val="32"/>
          <w:u w:val="none"/>
          <w:lang w:eastAsia="zh-CN"/>
        </w:rPr>
        <w:t>明确耕地污染防治项目资金投入渠道，</w:t>
      </w:r>
      <w:r>
        <w:rPr>
          <w:rStyle w:val="11"/>
          <w:rFonts w:hint="eastAsia" w:ascii="仿宋" w:hAnsi="仿宋" w:eastAsia="仿宋" w:cs="仿宋"/>
          <w:color w:val="2B2B2B"/>
          <w:sz w:val="32"/>
          <w:szCs w:val="32"/>
          <w:u w:val="none"/>
          <w:lang w:val="en-US" w:eastAsia="zh-CN"/>
        </w:rPr>
        <w:t>把治理经费列入地方政府财政预算，以最快速度采购物资进行治理，以免耽误农时，影响治理效果</w:t>
      </w:r>
      <w:r>
        <w:rPr>
          <w:rStyle w:val="11"/>
          <w:rFonts w:hint="eastAsia" w:ascii="仿宋" w:hAnsi="仿宋" w:eastAsia="仿宋" w:cs="仿宋"/>
          <w:color w:val="2B2B2B"/>
          <w:sz w:val="32"/>
          <w:szCs w:val="32"/>
          <w:u w:val="none"/>
          <w:lang w:eastAsia="zh-CN"/>
        </w:rPr>
        <w:t>。</w:t>
      </w: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520" w:firstLineChars="800"/>
        <w:jc w:val="both"/>
        <w:rPr>
          <w:rFonts w:hint="eastAsia" w:ascii="方正小标宋简体" w:hAnsi="方正小标宋简体" w:eastAsia="方正小标宋简体" w:cs="方正小标宋简体"/>
          <w:sz w:val="44"/>
          <w:szCs w:val="44"/>
        </w:rPr>
      </w:pPr>
    </w:p>
    <w:p>
      <w:pPr>
        <w:spacing w:line="578" w:lineRule="exact"/>
        <w:ind w:firstLine="3080" w:firstLineChars="700"/>
        <w:jc w:val="both"/>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部门评价表</w:t>
      </w:r>
    </w:p>
    <w:p>
      <w:pPr>
        <w:spacing w:line="200" w:lineRule="exact"/>
        <w:jc w:val="center"/>
        <w:rPr>
          <w:rFonts w:ascii="方正小标宋简体" w:hAnsi="方正小标宋简体" w:eastAsia="方正小标宋简体"/>
          <w:sz w:val="44"/>
          <w:szCs w:val="44"/>
        </w:rPr>
      </w:pPr>
    </w:p>
    <w:tbl>
      <w:tblPr>
        <w:tblStyle w:val="6"/>
        <w:tblpPr w:leftFromText="180" w:rightFromText="180" w:vertAnchor="text" w:horzAnchor="page" w:tblpXSpec="center" w:tblpY="32"/>
        <w:tblOverlap w:val="never"/>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344"/>
        <w:gridCol w:w="17"/>
        <w:gridCol w:w="497"/>
        <w:gridCol w:w="419"/>
        <w:gridCol w:w="703"/>
        <w:gridCol w:w="786"/>
        <w:gridCol w:w="542"/>
        <w:gridCol w:w="231"/>
        <w:gridCol w:w="1034"/>
        <w:gridCol w:w="579"/>
        <w:gridCol w:w="423"/>
        <w:gridCol w:w="358"/>
        <w:gridCol w:w="23"/>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项目名称：</w:t>
            </w:r>
          </w:p>
        </w:tc>
        <w:tc>
          <w:tcPr>
            <w:tcW w:w="7407" w:type="dxa"/>
            <w:gridSpan w:val="11"/>
            <w:vAlign w:val="center"/>
          </w:tcPr>
          <w:p>
            <w:pPr>
              <w:spacing w:line="300" w:lineRule="exact"/>
              <w:rPr>
                <w:rFonts w:hint="default" w:ascii="宋体" w:eastAsia="宋体"/>
                <w:szCs w:val="21"/>
                <w:lang w:val="en-US" w:eastAsia="zh-CN"/>
              </w:rPr>
            </w:pPr>
            <w:r>
              <w:rPr>
                <w:rFonts w:hint="eastAsia" w:ascii="宋体"/>
                <w:szCs w:val="21"/>
                <w:lang w:val="en-US" w:eastAsia="zh-CN"/>
              </w:rPr>
              <w:t>浮梁县2021年受污染耕地安全利用项目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主管部门</w:t>
            </w:r>
          </w:p>
        </w:tc>
        <w:tc>
          <w:tcPr>
            <w:tcW w:w="1908" w:type="dxa"/>
            <w:gridSpan w:val="3"/>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浮梁县农业农村局</w:t>
            </w:r>
          </w:p>
        </w:tc>
        <w:tc>
          <w:tcPr>
            <w:tcW w:w="2809" w:type="dxa"/>
            <w:gridSpan w:val="5"/>
            <w:vAlign w:val="center"/>
          </w:tcPr>
          <w:p>
            <w:pPr>
              <w:spacing w:line="300" w:lineRule="exact"/>
              <w:jc w:val="center"/>
              <w:rPr>
                <w:rFonts w:ascii="宋体"/>
                <w:szCs w:val="21"/>
              </w:rPr>
            </w:pPr>
            <w:r>
              <w:rPr>
                <w:rFonts w:hint="eastAsia" w:ascii="宋体" w:hAnsi="宋体" w:cs="宋体"/>
                <w:szCs w:val="21"/>
              </w:rPr>
              <w:t>项目实施单位</w:t>
            </w:r>
          </w:p>
        </w:tc>
        <w:tc>
          <w:tcPr>
            <w:tcW w:w="2690" w:type="dxa"/>
            <w:gridSpan w:val="3"/>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浮梁县农业技术推广中心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项目负责人</w:t>
            </w:r>
          </w:p>
        </w:tc>
        <w:tc>
          <w:tcPr>
            <w:tcW w:w="1908" w:type="dxa"/>
            <w:gridSpan w:val="3"/>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邱水胜</w:t>
            </w:r>
          </w:p>
        </w:tc>
        <w:tc>
          <w:tcPr>
            <w:tcW w:w="2809" w:type="dxa"/>
            <w:gridSpan w:val="5"/>
            <w:vAlign w:val="center"/>
          </w:tcPr>
          <w:p>
            <w:pPr>
              <w:spacing w:line="300" w:lineRule="exact"/>
              <w:jc w:val="center"/>
              <w:rPr>
                <w:rFonts w:ascii="宋体"/>
                <w:szCs w:val="21"/>
              </w:rPr>
            </w:pPr>
            <w:r>
              <w:rPr>
                <w:rFonts w:hint="eastAsia" w:ascii="宋体" w:hAnsi="宋体" w:cs="宋体"/>
                <w:szCs w:val="21"/>
              </w:rPr>
              <w:t>联系电话</w:t>
            </w:r>
          </w:p>
        </w:tc>
        <w:tc>
          <w:tcPr>
            <w:tcW w:w="2690" w:type="dxa"/>
            <w:gridSpan w:val="3"/>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13197986790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项目类型</w:t>
            </w:r>
          </w:p>
        </w:tc>
        <w:tc>
          <w:tcPr>
            <w:tcW w:w="7407" w:type="dxa"/>
            <w:gridSpan w:val="11"/>
            <w:vAlign w:val="center"/>
          </w:tcPr>
          <w:p>
            <w:pPr>
              <w:spacing w:line="300" w:lineRule="exact"/>
              <w:jc w:val="center"/>
              <w:rPr>
                <w:rFonts w:ascii="宋体"/>
                <w:szCs w:val="21"/>
              </w:rPr>
            </w:pPr>
            <w:r>
              <w:rPr>
                <w:rFonts w:hint="eastAsia" w:ascii="宋体" w:hAnsi="宋体" w:cs="宋体"/>
                <w:szCs w:val="21"/>
              </w:rPr>
              <w:t>经常性项目（</w:t>
            </w:r>
            <w:r>
              <w:rPr>
                <w:rFonts w:ascii="宋体" w:hAnsi="宋体" w:cs="宋体"/>
                <w:szCs w:val="21"/>
              </w:rPr>
              <w:t xml:space="preserve"> </w:t>
            </w:r>
            <w:r>
              <w:rPr>
                <w:rFonts w:hint="eastAsia" w:ascii="宋体" w:hAnsi="宋体" w:cs="宋体"/>
                <w:szCs w:val="21"/>
                <w:lang w:eastAsia="zh-CN"/>
              </w:rPr>
              <w:t>√</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一次性项目（</w:t>
            </w:r>
            <w:r>
              <w:rPr>
                <w:rFonts w:ascii="宋体" w:hAnsi="宋体" w:cs="宋体"/>
                <w:szCs w:val="21"/>
              </w:rPr>
              <w:t xml:space="preserve">  </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00" w:hRule="atLeast"/>
          <w:jc w:val="center"/>
        </w:trPr>
        <w:tc>
          <w:tcPr>
            <w:tcW w:w="1858" w:type="dxa"/>
            <w:gridSpan w:val="3"/>
            <w:vAlign w:val="center"/>
          </w:tcPr>
          <w:p>
            <w:pPr>
              <w:spacing w:line="240" w:lineRule="exact"/>
              <w:jc w:val="center"/>
              <w:rPr>
                <w:rFonts w:ascii="宋体"/>
                <w:szCs w:val="21"/>
              </w:rPr>
            </w:pPr>
            <w:r>
              <w:rPr>
                <w:rFonts w:hint="eastAsia" w:ascii="宋体" w:hAnsi="宋体" w:cs="宋体"/>
                <w:szCs w:val="21"/>
              </w:rPr>
              <w:t>计划投资额</w:t>
            </w:r>
          </w:p>
          <w:p>
            <w:pPr>
              <w:spacing w:line="240" w:lineRule="exact"/>
              <w:jc w:val="center"/>
              <w:rPr>
                <w:rFonts w:ascii="宋体"/>
                <w:szCs w:val="21"/>
              </w:rPr>
            </w:pPr>
            <w:r>
              <w:rPr>
                <w:rFonts w:hint="eastAsia" w:ascii="宋体" w:hAnsi="宋体" w:cs="宋体"/>
                <w:szCs w:val="21"/>
              </w:rPr>
              <w:t>（万元）</w:t>
            </w:r>
          </w:p>
        </w:tc>
        <w:tc>
          <w:tcPr>
            <w:tcW w:w="1122" w:type="dxa"/>
            <w:gridSpan w:val="2"/>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243.62</w:t>
            </w:r>
          </w:p>
        </w:tc>
        <w:tc>
          <w:tcPr>
            <w:tcW w:w="1559" w:type="dxa"/>
            <w:gridSpan w:val="3"/>
            <w:vAlign w:val="center"/>
          </w:tcPr>
          <w:p>
            <w:pPr>
              <w:spacing w:line="240" w:lineRule="exact"/>
              <w:jc w:val="center"/>
              <w:rPr>
                <w:rFonts w:ascii="宋体"/>
                <w:szCs w:val="21"/>
              </w:rPr>
            </w:pPr>
            <w:r>
              <w:rPr>
                <w:rFonts w:hint="eastAsia" w:ascii="宋体" w:hAnsi="宋体" w:cs="宋体"/>
                <w:szCs w:val="21"/>
              </w:rPr>
              <w:t>实际到位资金（万元）</w:t>
            </w:r>
          </w:p>
        </w:tc>
        <w:tc>
          <w:tcPr>
            <w:tcW w:w="1034" w:type="dxa"/>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243.62</w:t>
            </w:r>
          </w:p>
        </w:tc>
        <w:tc>
          <w:tcPr>
            <w:tcW w:w="1383" w:type="dxa"/>
            <w:gridSpan w:val="4"/>
            <w:vAlign w:val="center"/>
          </w:tcPr>
          <w:p>
            <w:pPr>
              <w:spacing w:line="240" w:lineRule="exact"/>
              <w:jc w:val="center"/>
              <w:rPr>
                <w:rFonts w:ascii="宋体"/>
                <w:szCs w:val="21"/>
              </w:rPr>
            </w:pPr>
            <w:r>
              <w:rPr>
                <w:rFonts w:hint="eastAsia" w:ascii="宋体" w:hAnsi="宋体" w:cs="宋体"/>
                <w:szCs w:val="21"/>
              </w:rPr>
              <w:t>实际使用情况（万元）</w:t>
            </w:r>
          </w:p>
        </w:tc>
        <w:tc>
          <w:tcPr>
            <w:tcW w:w="2309" w:type="dxa"/>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其中：中央财政</w:t>
            </w:r>
          </w:p>
        </w:tc>
        <w:tc>
          <w:tcPr>
            <w:tcW w:w="1122" w:type="dxa"/>
            <w:gridSpan w:val="2"/>
            <w:vAlign w:val="center"/>
          </w:tcPr>
          <w:p>
            <w:pPr>
              <w:spacing w:line="300" w:lineRule="exact"/>
              <w:jc w:val="center"/>
              <w:rPr>
                <w:rFonts w:ascii="宋体"/>
                <w:szCs w:val="21"/>
              </w:rPr>
            </w:pPr>
          </w:p>
        </w:tc>
        <w:tc>
          <w:tcPr>
            <w:tcW w:w="1559" w:type="dxa"/>
            <w:gridSpan w:val="3"/>
            <w:vAlign w:val="center"/>
          </w:tcPr>
          <w:p>
            <w:pPr>
              <w:spacing w:line="300" w:lineRule="exact"/>
              <w:jc w:val="center"/>
              <w:rPr>
                <w:rFonts w:ascii="宋体"/>
                <w:szCs w:val="21"/>
              </w:rPr>
            </w:pPr>
            <w:r>
              <w:rPr>
                <w:rFonts w:hint="eastAsia" w:ascii="宋体" w:hAnsi="宋体" w:cs="宋体"/>
                <w:szCs w:val="21"/>
              </w:rPr>
              <w:t>其中：中央财政</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省财政</w:t>
            </w:r>
          </w:p>
        </w:tc>
        <w:tc>
          <w:tcPr>
            <w:tcW w:w="1122" w:type="dxa"/>
            <w:gridSpan w:val="2"/>
            <w:vAlign w:val="center"/>
          </w:tcPr>
          <w:p>
            <w:pPr>
              <w:spacing w:line="300" w:lineRule="exact"/>
              <w:jc w:val="center"/>
              <w:rPr>
                <w:rFonts w:ascii="宋体"/>
                <w:szCs w:val="21"/>
              </w:rPr>
            </w:pPr>
          </w:p>
        </w:tc>
        <w:tc>
          <w:tcPr>
            <w:tcW w:w="1559" w:type="dxa"/>
            <w:gridSpan w:val="3"/>
            <w:vAlign w:val="center"/>
          </w:tcPr>
          <w:p>
            <w:pPr>
              <w:spacing w:line="300" w:lineRule="exact"/>
              <w:jc w:val="center"/>
              <w:rPr>
                <w:rFonts w:ascii="宋体"/>
                <w:szCs w:val="21"/>
              </w:rPr>
            </w:pPr>
            <w:r>
              <w:rPr>
                <w:rFonts w:hint="eastAsia" w:ascii="宋体" w:hAnsi="宋体" w:cs="宋体"/>
                <w:szCs w:val="21"/>
              </w:rPr>
              <w:t>省财政</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县财政</w:t>
            </w:r>
          </w:p>
        </w:tc>
        <w:tc>
          <w:tcPr>
            <w:tcW w:w="1122" w:type="dxa"/>
            <w:gridSpan w:val="2"/>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243.62</w:t>
            </w:r>
          </w:p>
        </w:tc>
        <w:tc>
          <w:tcPr>
            <w:tcW w:w="1559" w:type="dxa"/>
            <w:gridSpan w:val="3"/>
            <w:vAlign w:val="center"/>
          </w:tcPr>
          <w:p>
            <w:pPr>
              <w:spacing w:line="300" w:lineRule="exact"/>
              <w:jc w:val="center"/>
              <w:rPr>
                <w:rFonts w:ascii="宋体"/>
                <w:szCs w:val="21"/>
              </w:rPr>
            </w:pPr>
            <w:r>
              <w:rPr>
                <w:rFonts w:hint="eastAsia" w:ascii="宋体" w:hAnsi="宋体" w:cs="宋体"/>
                <w:szCs w:val="21"/>
              </w:rPr>
              <w:t>县财政</w:t>
            </w:r>
          </w:p>
        </w:tc>
        <w:tc>
          <w:tcPr>
            <w:tcW w:w="1034" w:type="dxa"/>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243.62</w:t>
            </w: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其他</w:t>
            </w:r>
          </w:p>
        </w:tc>
        <w:tc>
          <w:tcPr>
            <w:tcW w:w="1122" w:type="dxa"/>
            <w:gridSpan w:val="2"/>
            <w:vAlign w:val="center"/>
          </w:tcPr>
          <w:p>
            <w:pPr>
              <w:spacing w:line="300" w:lineRule="exact"/>
              <w:jc w:val="center"/>
              <w:rPr>
                <w:rFonts w:ascii="宋体"/>
                <w:szCs w:val="21"/>
              </w:rPr>
            </w:pPr>
          </w:p>
        </w:tc>
        <w:tc>
          <w:tcPr>
            <w:tcW w:w="1559" w:type="dxa"/>
            <w:gridSpan w:val="3"/>
            <w:vAlign w:val="center"/>
          </w:tcPr>
          <w:p>
            <w:pPr>
              <w:spacing w:line="300" w:lineRule="exact"/>
              <w:jc w:val="center"/>
              <w:rPr>
                <w:rFonts w:ascii="宋体"/>
                <w:szCs w:val="21"/>
              </w:rPr>
            </w:pPr>
            <w:r>
              <w:rPr>
                <w:rFonts w:hint="eastAsia" w:ascii="宋体" w:hAnsi="宋体" w:cs="宋体"/>
                <w:szCs w:val="21"/>
              </w:rPr>
              <w:t>其他</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9265" w:type="dxa"/>
            <w:gridSpan w:val="14"/>
            <w:vAlign w:val="center"/>
          </w:tcPr>
          <w:p>
            <w:pPr>
              <w:spacing w:line="300" w:lineRule="exact"/>
              <w:rPr>
                <w:rFonts w:ascii="宋体"/>
                <w:szCs w:val="21"/>
              </w:rPr>
            </w:pPr>
            <w:r>
              <w:rPr>
                <w:rFonts w:hint="eastAsia" w:ascii="宋体" w:hAnsi="宋体" w:cs="宋体"/>
                <w:b/>
                <w:bCs/>
                <w:szCs w:val="21"/>
              </w:rPr>
              <w:t>二、</w:t>
            </w:r>
            <w:r>
              <w:rPr>
                <w:rFonts w:hint="eastAsia" w:ascii="宋体" w:hAnsi="宋体" w:cs="宋体"/>
                <w:b/>
                <w:bCs/>
                <w:color w:val="000000"/>
                <w:szCs w:val="21"/>
              </w:rPr>
              <w:t>绩效评价指标评分（参考）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一级指标</w:t>
            </w:r>
          </w:p>
        </w:tc>
        <w:tc>
          <w:tcPr>
            <w:tcW w:w="916" w:type="dxa"/>
            <w:gridSpan w:val="2"/>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二级指标</w:t>
            </w:r>
          </w:p>
        </w:tc>
        <w:tc>
          <w:tcPr>
            <w:tcW w:w="542"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三级指标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决策</w:t>
            </w:r>
          </w:p>
        </w:tc>
        <w:tc>
          <w:tcPr>
            <w:tcW w:w="916"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40</w:t>
            </w:r>
          </w:p>
        </w:tc>
        <w:tc>
          <w:tcPr>
            <w:tcW w:w="1489"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项目立项</w:t>
            </w:r>
          </w:p>
        </w:tc>
        <w:tc>
          <w:tcPr>
            <w:tcW w:w="542"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6</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立项依据充分性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489" w:type="dxa"/>
            <w:gridSpan w:val="2"/>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542"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立项程序规范性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489" w:type="dxa"/>
            <w:gridSpan w:val="2"/>
            <w:vMerge w:val="restart"/>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绩效目标</w:t>
            </w:r>
          </w:p>
        </w:tc>
        <w:tc>
          <w:tcPr>
            <w:tcW w:w="542" w:type="dxa"/>
            <w:vMerge w:val="restart"/>
            <w:tcBorders>
              <w:left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6</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绩效目标合理性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489" w:type="dxa"/>
            <w:gridSpan w:val="2"/>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542"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绩效指标明确性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489"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资金投入</w:t>
            </w:r>
          </w:p>
        </w:tc>
        <w:tc>
          <w:tcPr>
            <w:tcW w:w="542"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预算编制科学性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542"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资金分配合理性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过程</w:t>
            </w: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489"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542"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资金到位率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color w:val="000000"/>
                <w:szCs w:val="21"/>
              </w:rPr>
            </w:pPr>
          </w:p>
        </w:tc>
        <w:tc>
          <w:tcPr>
            <w:tcW w:w="542"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预算执行率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542"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资金使用合规性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489" w:type="dxa"/>
            <w:gridSpan w:val="2"/>
            <w:vMerge w:val="restart"/>
            <w:tcBorders>
              <w:top w:val="single" w:color="000000" w:sz="4" w:space="0"/>
              <w:left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组织实施　</w:t>
            </w:r>
          </w:p>
        </w:tc>
        <w:tc>
          <w:tcPr>
            <w:tcW w:w="542"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default" w:ascii="宋体" w:eastAsia="宋体"/>
                <w:szCs w:val="21"/>
                <w:lang w:val="en-US" w:eastAsia="zh-CN"/>
              </w:rPr>
            </w:pPr>
            <w:r>
              <w:rPr>
                <w:rFonts w:hint="eastAsia" w:ascii="宋体"/>
                <w:szCs w:val="21"/>
                <w:lang w:val="en-US" w:eastAsia="zh-CN"/>
              </w:rPr>
              <w:t>10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管理制度健全性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542"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制度执行有效性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w:t>
            </w:r>
          </w:p>
        </w:tc>
        <w:tc>
          <w:tcPr>
            <w:tcW w:w="916"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60</w:t>
            </w: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产出数量</w:t>
            </w:r>
          </w:p>
        </w:tc>
        <w:tc>
          <w:tcPr>
            <w:tcW w:w="542"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6</w:t>
            </w:r>
          </w:p>
        </w:tc>
        <w:tc>
          <w:tcPr>
            <w:tcW w:w="1844" w:type="dxa"/>
            <w:gridSpan w:val="3"/>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可根据项目实际情况有选择地设置和细化</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产出质量</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产出时效</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产出成本</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right w:val="single" w:color="000000" w:sz="4" w:space="0"/>
            </w:tcBorders>
            <w:vAlign w:val="center"/>
          </w:tcPr>
          <w:p>
            <w:pPr>
              <w:spacing w:line="300" w:lineRule="exact"/>
              <w:jc w:val="center"/>
              <w:rPr>
                <w:rFonts w:ascii="宋体"/>
                <w:szCs w:val="21"/>
              </w:rPr>
            </w:pPr>
            <w:r>
              <w:rPr>
                <w:rFonts w:hint="eastAsia" w:ascii="宋体" w:hAnsi="宋体" w:cs="宋体"/>
                <w:szCs w:val="21"/>
              </w:rPr>
              <w:t>效益</w:t>
            </w: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经济效益</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社会效益</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环境效益</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6</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6</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可持续影响</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8</w:t>
            </w:r>
          </w:p>
        </w:tc>
        <w:tc>
          <w:tcPr>
            <w:tcW w:w="1844"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8</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1361" w:type="dxa"/>
            <w:gridSpan w:val="2"/>
            <w:vMerge w:val="continue"/>
            <w:tcBorders>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280" w:lineRule="exact"/>
              <w:jc w:val="center"/>
              <w:textAlignment w:val="center"/>
              <w:rPr>
                <w:rFonts w:ascii="宋体"/>
                <w:szCs w:val="21"/>
              </w:rPr>
            </w:pPr>
            <w:r>
              <w:rPr>
                <w:rFonts w:hint="eastAsia" w:ascii="宋体" w:hAnsi="宋体" w:cs="宋体"/>
                <w:color w:val="000000"/>
                <w:szCs w:val="21"/>
              </w:rPr>
              <w:t>满意度</w:t>
            </w:r>
          </w:p>
        </w:tc>
        <w:tc>
          <w:tcPr>
            <w:tcW w:w="542"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hint="default" w:ascii="宋体" w:eastAsia="宋体"/>
                <w:szCs w:val="21"/>
                <w:lang w:val="en-US" w:eastAsia="zh-CN"/>
              </w:rPr>
            </w:pPr>
            <w:r>
              <w:rPr>
                <w:rFonts w:hint="eastAsia" w:ascii="宋体"/>
                <w:szCs w:val="21"/>
                <w:lang w:val="en-US" w:eastAsia="zh-CN"/>
              </w:rPr>
              <w:t>10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80" w:lineRule="exact"/>
              <w:jc w:val="center"/>
              <w:textAlignment w:val="center"/>
              <w:rPr>
                <w:rFonts w:ascii="宋体"/>
                <w:color w:val="000000"/>
                <w:szCs w:val="21"/>
              </w:rPr>
            </w:pPr>
            <w:r>
              <w:rPr>
                <w:rFonts w:hint="eastAsia" w:ascii="宋体" w:hAnsi="宋体" w:cs="宋体"/>
                <w:color w:val="000000"/>
                <w:szCs w:val="21"/>
              </w:rPr>
              <w:t>社会公众或服务对象满意度</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总分</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489"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542"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44" w:type="dxa"/>
            <w:vMerge w:val="restart"/>
            <w:vAlign w:val="center"/>
          </w:tcPr>
          <w:p>
            <w:pPr>
              <w:spacing w:line="300" w:lineRule="exact"/>
              <w:jc w:val="center"/>
              <w:rPr>
                <w:rFonts w:ascii="宋体"/>
                <w:szCs w:val="21"/>
              </w:rPr>
            </w:pPr>
            <w:r>
              <w:rPr>
                <w:rFonts w:hint="eastAsia" w:ascii="宋体" w:hAnsi="宋体" w:cs="宋体"/>
                <w:szCs w:val="21"/>
              </w:rPr>
              <w:t>评价等次</w:t>
            </w:r>
          </w:p>
        </w:tc>
        <w:tc>
          <w:tcPr>
            <w:tcW w:w="7921" w:type="dxa"/>
            <w:gridSpan w:val="13"/>
            <w:vAlign w:val="center"/>
          </w:tcPr>
          <w:p>
            <w:pPr>
              <w:spacing w:line="300" w:lineRule="exact"/>
              <w:jc w:val="center"/>
              <w:rPr>
                <w:rFonts w:ascii="宋体"/>
                <w:szCs w:val="21"/>
              </w:rPr>
            </w:pPr>
            <w:r>
              <w:rPr>
                <w:rFonts w:hint="eastAsia" w:ascii="宋体" w:hAnsi="宋体" w:cs="宋体"/>
                <w:color w:val="000000"/>
                <w:kern w:val="0"/>
                <w:szCs w:val="21"/>
              </w:rPr>
              <w:t>优</w:t>
            </w:r>
            <w:r>
              <w:rPr>
                <w:rFonts w:hint="eastAsia" w:ascii="宋体" w:hAnsi="宋体" w:cs="宋体"/>
                <w:color w:val="000000"/>
                <w:kern w:val="0"/>
                <w:szCs w:val="21"/>
                <w:lang w:eastAsia="zh-CN"/>
              </w:rPr>
              <w:t>☑</w:t>
            </w:r>
            <w:r>
              <w:rPr>
                <w:rFonts w:ascii="宋体" w:hAnsi="宋体" w:cs="宋体"/>
                <w:color w:val="000000"/>
                <w:kern w:val="0"/>
                <w:szCs w:val="21"/>
              </w:rPr>
              <w:t xml:space="preserve">        </w:t>
            </w:r>
            <w:r>
              <w:rPr>
                <w:rFonts w:hint="eastAsia" w:ascii="宋体" w:hAnsi="宋体" w:cs="宋体"/>
                <w:color w:val="000000"/>
                <w:kern w:val="0"/>
                <w:szCs w:val="21"/>
              </w:rPr>
              <w:t>良□</w:t>
            </w:r>
            <w:r>
              <w:rPr>
                <w:rFonts w:ascii="宋体" w:hAnsi="宋体" w:cs="宋体"/>
                <w:color w:val="000000"/>
                <w:kern w:val="0"/>
                <w:szCs w:val="21"/>
              </w:rPr>
              <w:t xml:space="preserve">       </w:t>
            </w:r>
            <w:r>
              <w:rPr>
                <w:rFonts w:hint="eastAsia" w:ascii="宋体" w:hAnsi="宋体" w:cs="宋体"/>
                <w:color w:val="000000"/>
                <w:kern w:val="0"/>
                <w:szCs w:val="21"/>
              </w:rPr>
              <w:t>中</w:t>
            </w:r>
            <w:r>
              <w:rPr>
                <w:rFonts w:ascii="宋体" w:hAnsi="宋体" w:cs="宋体"/>
                <w:color w:val="000000"/>
                <w:kern w:val="0"/>
                <w:szCs w:val="21"/>
              </w:rPr>
              <w:t xml:space="preserve"> </w:t>
            </w: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44" w:type="dxa"/>
            <w:vMerge w:val="continue"/>
            <w:vAlign w:val="center"/>
          </w:tcPr>
          <w:p>
            <w:pPr>
              <w:spacing w:line="300" w:lineRule="exact"/>
              <w:jc w:val="center"/>
              <w:rPr>
                <w:rFonts w:ascii="宋体"/>
                <w:szCs w:val="21"/>
              </w:rPr>
            </w:pPr>
          </w:p>
        </w:tc>
        <w:tc>
          <w:tcPr>
            <w:tcW w:w="7921" w:type="dxa"/>
            <w:gridSpan w:val="13"/>
          </w:tcPr>
          <w:p>
            <w:pPr>
              <w:spacing w:line="260" w:lineRule="exact"/>
              <w:rPr>
                <w:rFonts w:ascii="宋体"/>
                <w:color w:val="000000"/>
                <w:kern w:val="0"/>
                <w:szCs w:val="21"/>
              </w:rPr>
            </w:pPr>
            <w:r>
              <w:rPr>
                <w:rFonts w:ascii="宋体" w:hAnsi="宋体" w:cs="宋体"/>
                <w:color w:val="000000"/>
                <w:kern w:val="0"/>
                <w:szCs w:val="21"/>
              </w:rPr>
              <w:t>100-90</w:t>
            </w:r>
            <w:r>
              <w:rPr>
                <w:rFonts w:hint="eastAsia" w:ascii="宋体" w:hAnsi="宋体" w:cs="宋体"/>
                <w:color w:val="000000"/>
                <w:kern w:val="0"/>
                <w:szCs w:val="21"/>
              </w:rPr>
              <w:t>（含）分为优、</w:t>
            </w:r>
            <w:r>
              <w:rPr>
                <w:rFonts w:ascii="宋体" w:hAnsi="宋体" w:cs="宋体"/>
                <w:color w:val="000000"/>
                <w:kern w:val="0"/>
                <w:szCs w:val="21"/>
              </w:rPr>
              <w:t>90-80</w:t>
            </w:r>
            <w:r>
              <w:rPr>
                <w:rFonts w:hint="eastAsia" w:ascii="宋体" w:hAnsi="宋体" w:cs="宋体"/>
                <w:color w:val="000000"/>
                <w:kern w:val="0"/>
                <w:szCs w:val="21"/>
              </w:rPr>
              <w:t>（含）分为良、</w:t>
            </w:r>
            <w:r>
              <w:rPr>
                <w:rFonts w:ascii="宋体" w:hAnsi="宋体" w:cs="宋体"/>
                <w:color w:val="000000"/>
                <w:kern w:val="0"/>
                <w:szCs w:val="21"/>
              </w:rPr>
              <w:t>80-60</w:t>
            </w:r>
            <w:r>
              <w:rPr>
                <w:rFonts w:hint="eastAsia" w:ascii="宋体" w:hAnsi="宋体" w:cs="宋体"/>
                <w:color w:val="000000"/>
                <w:kern w:val="0"/>
                <w:szCs w:val="21"/>
              </w:rPr>
              <w:t>（含）分为中、</w:t>
            </w:r>
            <w:r>
              <w:rPr>
                <w:rFonts w:ascii="宋体" w:hAnsi="宋体" w:cs="宋体"/>
                <w:color w:val="000000"/>
                <w:kern w:val="0"/>
                <w:szCs w:val="21"/>
              </w:rPr>
              <w:t>60</w:t>
            </w:r>
            <w:r>
              <w:rPr>
                <w:rFonts w:hint="eastAsia" w:ascii="宋体" w:hAnsi="宋体" w:cs="宋体"/>
                <w:color w:val="000000"/>
                <w:kern w:val="0"/>
                <w:szCs w:val="21"/>
              </w:rPr>
              <w:t>分以下为差</w:t>
            </w:r>
          </w:p>
        </w:tc>
      </w:tr>
    </w:tbl>
    <w:p>
      <w:r>
        <w:rPr>
          <w:rFonts w:hint="eastAsia" w:ascii="仿宋_GB2312" w:hAnsi="仿宋" w:eastAsia="仿宋_GB2312" w:cs="仿宋_GB2312"/>
          <w:szCs w:val="21"/>
        </w:rPr>
        <w:t>注：指标可参考财政部《项目支出绩效评价管理办法》中附件</w:t>
      </w:r>
      <w:r>
        <w:rPr>
          <w:rFonts w:ascii="仿宋_GB2312" w:hAnsi="仿宋" w:eastAsia="仿宋_GB2312" w:cs="仿宋_GB2312"/>
          <w:szCs w:val="21"/>
        </w:rPr>
        <w:t>2</w:t>
      </w:r>
      <w:r>
        <w:rPr>
          <w:rFonts w:hint="eastAsia" w:ascii="仿宋_GB2312" w:hAnsi="仿宋" w:eastAsia="仿宋_GB2312" w:cs="仿宋_GB2312"/>
          <w:szCs w:val="21"/>
        </w:rPr>
        <w:t>：《项目支出绩效评价指标体系框架》设置。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7F9EC"/>
    <w:multiLevelType w:val="singleLevel"/>
    <w:tmpl w:val="ADF7F9EC"/>
    <w:lvl w:ilvl="0" w:tentative="0">
      <w:start w:val="2"/>
      <w:numFmt w:val="decimal"/>
      <w:suff w:val="nothing"/>
      <w:lvlText w:val="（%1）"/>
      <w:lvlJc w:val="left"/>
      <w:pPr>
        <w:ind w:left="-10"/>
      </w:pPr>
      <w:rPr>
        <w:rFonts w:hint="default"/>
        <w:sz w:val="32"/>
        <w:szCs w:val="32"/>
      </w:rPr>
    </w:lvl>
  </w:abstractNum>
  <w:abstractNum w:abstractNumId="1">
    <w:nsid w:val="E98AFB15"/>
    <w:multiLevelType w:val="singleLevel"/>
    <w:tmpl w:val="E98AFB1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GY0NmNmZWRlNjI2ZDhmNTYyMWExZWU3NTBiOTQifQ=="/>
  </w:docVars>
  <w:rsids>
    <w:rsidRoot w:val="00221ACA"/>
    <w:rsid w:val="00092896"/>
    <w:rsid w:val="00221ACA"/>
    <w:rsid w:val="00412F63"/>
    <w:rsid w:val="004B3CAC"/>
    <w:rsid w:val="005C5D3D"/>
    <w:rsid w:val="005D683D"/>
    <w:rsid w:val="00602CEE"/>
    <w:rsid w:val="00705CB3"/>
    <w:rsid w:val="00B84A88"/>
    <w:rsid w:val="00DE3CC6"/>
    <w:rsid w:val="00EE52B7"/>
    <w:rsid w:val="00FE58AB"/>
    <w:rsid w:val="40C460EE"/>
    <w:rsid w:val="69ED2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0"/>
    <w:qFormat/>
    <w:uiPriority w:val="99"/>
    <w:pPr>
      <w:keepNext/>
      <w:keepLines/>
      <w:spacing w:before="260" w:after="260" w:line="416" w:lineRule="auto"/>
      <w:outlineLvl w:val="1"/>
    </w:pPr>
    <w:rPr>
      <w:rFonts w:ascii="Cambria" w:hAnsi="Cambria" w:cs="Cambria" w:eastAsiaTheme="minorEastAsia"/>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customStyle="1" w:styleId="8">
    <w:name w:val="正文1 Char Char Char"/>
    <w:qFormat/>
    <w:uiPriority w:val="99"/>
    <w:pPr>
      <w:widowControl w:val="0"/>
      <w:spacing w:line="360" w:lineRule="auto"/>
      <w:ind w:firstLine="200" w:firstLineChars="200"/>
      <w:jc w:val="both"/>
    </w:pPr>
    <w:rPr>
      <w:rFonts w:ascii="Times New Roman" w:hAnsi="Times New Roman" w:eastAsia="宋体" w:cs="Times New Roman"/>
      <w:kern w:val="2"/>
      <w:sz w:val="21"/>
      <w:szCs w:val="21"/>
      <w:lang w:val="en-US" w:eastAsia="zh-CN" w:bidi="ar-SA"/>
    </w:rPr>
  </w:style>
  <w:style w:type="character" w:customStyle="1" w:styleId="9">
    <w:name w:val="页脚 字符"/>
    <w:basedOn w:val="7"/>
    <w:link w:val="4"/>
    <w:qFormat/>
    <w:uiPriority w:val="0"/>
    <w:rPr>
      <w:kern w:val="2"/>
      <w:sz w:val="18"/>
      <w:szCs w:val="18"/>
    </w:rPr>
  </w:style>
  <w:style w:type="character" w:customStyle="1" w:styleId="10">
    <w:name w:val="标题 2 字符"/>
    <w:basedOn w:val="7"/>
    <w:link w:val="3"/>
    <w:qFormat/>
    <w:uiPriority w:val="99"/>
    <w:rPr>
      <w:rFonts w:ascii="Cambria" w:hAnsi="Cambria" w:cs="Cambria" w:eastAsiaTheme="minorEastAsia"/>
      <w:b/>
      <w:bCs/>
      <w:kern w:val="2"/>
      <w:sz w:val="32"/>
      <w:szCs w:val="32"/>
    </w:rPr>
  </w:style>
  <w:style w:type="character" w:customStyle="1" w:styleId="11">
    <w:name w:val="15"/>
    <w:basedOn w:val="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3995</Words>
  <Characters>4316</Characters>
  <Lines>23</Lines>
  <Paragraphs>6</Paragraphs>
  <TotalTime>18</TotalTime>
  <ScaleCrop>false</ScaleCrop>
  <LinksUpToDate>false</LinksUpToDate>
  <CharactersWithSpaces>4598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2022-05-05T16:02:00Z</dcterms:created>
  <dc:creator>Administrator</dc:creator>
  <cp:lastModifiedBy>娜娜是我</cp:lastModifiedBy>
  <dcterms:modified xsi:type="dcterms:W3CDTF">2022-06-13T01:42:13Z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6F925D27D23C442BA8A631823160A778</vt:lpwstr>
  </property>
</Properties>
</file>